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83" w:rsidRPr="00167083" w:rsidRDefault="00724E59" w:rsidP="00167083">
      <w:pPr>
        <w:ind w:right="540"/>
        <w:jc w:val="center"/>
        <w:rPr>
          <w:rFonts w:asciiTheme="minorHAnsi" w:hAnsiTheme="minorHAnsi" w:cstheme="minorHAnsi"/>
          <w:b/>
          <w:sz w:val="32"/>
          <w:szCs w:val="22"/>
        </w:rPr>
      </w:pPr>
      <w:bookmarkStart w:id="0" w:name="_GoBack"/>
      <w:bookmarkEnd w:id="0"/>
      <w:r w:rsidRPr="00167083">
        <w:rPr>
          <w:rFonts w:asciiTheme="minorHAnsi" w:hAnsiTheme="minorHAnsi" w:cstheme="minorHAnsi"/>
          <w:b/>
          <w:sz w:val="32"/>
          <w:szCs w:val="22"/>
        </w:rPr>
        <w:t>Master Syllabus</w:t>
      </w:r>
    </w:p>
    <w:p w:rsidR="00724E59" w:rsidRPr="00167083" w:rsidRDefault="00724E59" w:rsidP="00A96C62">
      <w:pPr>
        <w:jc w:val="center"/>
        <w:rPr>
          <w:rFonts w:asciiTheme="minorHAnsi" w:hAnsiTheme="minorHAnsi" w:cstheme="minorHAnsi"/>
          <w:b/>
          <w:sz w:val="32"/>
          <w:szCs w:val="22"/>
        </w:rPr>
      </w:pPr>
    </w:p>
    <w:p w:rsidR="00167083" w:rsidRDefault="00724E59" w:rsidP="007300E6">
      <w:pPr>
        <w:ind w:left="1440" w:hanging="1440"/>
        <w:jc w:val="center"/>
        <w:rPr>
          <w:rFonts w:asciiTheme="minorHAnsi" w:hAnsiTheme="minorHAnsi" w:cstheme="minorHAnsi"/>
          <w:b/>
          <w:sz w:val="32"/>
          <w:szCs w:val="22"/>
        </w:rPr>
      </w:pPr>
      <w:r w:rsidRPr="00167083">
        <w:rPr>
          <w:rFonts w:asciiTheme="minorHAnsi" w:hAnsiTheme="minorHAnsi" w:cstheme="minorHAnsi"/>
          <w:b/>
          <w:sz w:val="32"/>
          <w:szCs w:val="22"/>
        </w:rPr>
        <w:t xml:space="preserve">Course: </w:t>
      </w:r>
      <w:r w:rsidR="0072136A" w:rsidRPr="00167083">
        <w:rPr>
          <w:rFonts w:asciiTheme="minorHAnsi" w:hAnsiTheme="minorHAnsi" w:cstheme="minorHAnsi"/>
          <w:b/>
          <w:sz w:val="32"/>
          <w:szCs w:val="22"/>
        </w:rPr>
        <w:t xml:space="preserve">SOC/ANT/CJS 450 </w:t>
      </w:r>
      <w:r w:rsidR="00167083">
        <w:rPr>
          <w:rFonts w:asciiTheme="minorHAnsi" w:hAnsiTheme="minorHAnsi" w:cstheme="minorHAnsi"/>
          <w:b/>
          <w:sz w:val="32"/>
          <w:szCs w:val="22"/>
        </w:rPr>
        <w:t xml:space="preserve">- </w:t>
      </w:r>
      <w:r w:rsidR="0072136A" w:rsidRPr="00167083">
        <w:rPr>
          <w:rFonts w:asciiTheme="minorHAnsi" w:hAnsiTheme="minorHAnsi" w:cstheme="minorHAnsi"/>
          <w:b/>
          <w:sz w:val="32"/>
          <w:szCs w:val="22"/>
        </w:rPr>
        <w:t>Sociology/Anthropology/</w:t>
      </w:r>
      <w:r w:rsidR="00167083">
        <w:rPr>
          <w:rFonts w:asciiTheme="minorHAnsi" w:hAnsiTheme="minorHAnsi" w:cstheme="minorHAnsi"/>
          <w:b/>
          <w:sz w:val="32"/>
          <w:szCs w:val="22"/>
        </w:rPr>
        <w:t>CJS</w:t>
      </w:r>
      <w:r w:rsidR="0072136A" w:rsidRPr="00167083">
        <w:rPr>
          <w:rFonts w:asciiTheme="minorHAnsi" w:hAnsiTheme="minorHAnsi" w:cstheme="minorHAnsi"/>
          <w:b/>
          <w:sz w:val="32"/>
          <w:szCs w:val="22"/>
        </w:rPr>
        <w:t xml:space="preserve"> </w:t>
      </w:r>
      <w:r w:rsidR="00C207AA" w:rsidRPr="00167083">
        <w:rPr>
          <w:rFonts w:asciiTheme="minorHAnsi" w:hAnsiTheme="minorHAnsi" w:cstheme="minorHAnsi"/>
          <w:b/>
          <w:sz w:val="32"/>
          <w:szCs w:val="22"/>
        </w:rPr>
        <w:t>Internship</w:t>
      </w:r>
    </w:p>
    <w:p w:rsidR="007E38F2" w:rsidRPr="00167083" w:rsidRDefault="007E38F2" w:rsidP="007300E6">
      <w:pPr>
        <w:ind w:left="1440" w:hanging="1440"/>
        <w:jc w:val="center"/>
        <w:rPr>
          <w:rFonts w:asciiTheme="minorHAnsi" w:hAnsiTheme="minorHAnsi" w:cstheme="minorHAnsi"/>
          <w:b/>
          <w:sz w:val="32"/>
          <w:szCs w:val="22"/>
        </w:rPr>
      </w:pPr>
    </w:p>
    <w:p w:rsidR="00724E59" w:rsidRPr="00167083" w:rsidRDefault="00724E59" w:rsidP="00A83696">
      <w:pPr>
        <w:ind w:left="1440" w:hanging="1440"/>
        <w:jc w:val="center"/>
        <w:rPr>
          <w:rFonts w:asciiTheme="minorHAnsi" w:hAnsiTheme="minorHAnsi" w:cstheme="minorHAnsi"/>
          <w:b/>
          <w:sz w:val="32"/>
          <w:szCs w:val="22"/>
        </w:rPr>
      </w:pPr>
      <w:r w:rsidRPr="00167083">
        <w:rPr>
          <w:rFonts w:asciiTheme="minorHAnsi" w:hAnsiTheme="minorHAnsi" w:cstheme="minorHAnsi"/>
          <w:b/>
          <w:sz w:val="32"/>
          <w:szCs w:val="22"/>
        </w:rPr>
        <w:t xml:space="preserve">Cluster Requirement: </w:t>
      </w:r>
      <w:r w:rsidR="00C207AA" w:rsidRPr="00167083">
        <w:rPr>
          <w:rFonts w:asciiTheme="minorHAnsi" w:hAnsiTheme="minorHAnsi" w:cstheme="minorHAnsi"/>
          <w:b/>
          <w:sz w:val="32"/>
          <w:szCs w:val="22"/>
        </w:rPr>
        <w:t>5B</w:t>
      </w:r>
      <w:r w:rsidR="008D3035" w:rsidRPr="00167083">
        <w:rPr>
          <w:rFonts w:asciiTheme="minorHAnsi" w:hAnsiTheme="minorHAnsi" w:cstheme="minorHAnsi"/>
          <w:b/>
          <w:sz w:val="32"/>
          <w:szCs w:val="22"/>
        </w:rPr>
        <w:t xml:space="preserve"> – </w:t>
      </w:r>
      <w:r w:rsidR="00C207AA" w:rsidRPr="00167083">
        <w:rPr>
          <w:rFonts w:asciiTheme="minorHAnsi" w:hAnsiTheme="minorHAnsi" w:cstheme="minorHAnsi"/>
          <w:b/>
          <w:sz w:val="32"/>
          <w:szCs w:val="22"/>
        </w:rPr>
        <w:t>Learning Through Engagement</w:t>
      </w:r>
    </w:p>
    <w:p w:rsidR="00A83696" w:rsidRPr="00167083" w:rsidRDefault="00A83696">
      <w:pPr>
        <w:ind w:left="1440" w:hanging="1440"/>
        <w:rPr>
          <w:rFonts w:asciiTheme="minorHAnsi" w:hAnsiTheme="minorHAnsi" w:cstheme="minorHAnsi"/>
          <w:sz w:val="22"/>
          <w:szCs w:val="22"/>
        </w:rPr>
      </w:pPr>
    </w:p>
    <w:p w:rsidR="00A83696" w:rsidRPr="00167083" w:rsidRDefault="00843814" w:rsidP="00584CD0">
      <w:pPr>
        <w:rPr>
          <w:rFonts w:asciiTheme="minorHAnsi" w:hAnsiTheme="minorHAnsi" w:cstheme="minorHAnsi"/>
          <w:sz w:val="22"/>
          <w:szCs w:val="22"/>
        </w:rPr>
      </w:pPr>
      <w:r w:rsidRPr="00167083">
        <w:rPr>
          <w:rFonts w:asciiTheme="minorHAnsi" w:hAnsiTheme="minorHAnsi" w:cstheme="minorHAnsi"/>
          <w:sz w:val="22"/>
          <w:szCs w:val="22"/>
        </w:rPr>
        <w:t>This</w:t>
      </w:r>
      <w:r w:rsidR="00724E59" w:rsidRPr="00167083">
        <w:rPr>
          <w:rFonts w:asciiTheme="minorHAnsi" w:hAnsiTheme="minorHAnsi" w:cstheme="minorHAnsi"/>
          <w:sz w:val="22"/>
          <w:szCs w:val="22"/>
        </w:rPr>
        <w:t xml:space="preserve"> University Studies M</w:t>
      </w:r>
      <w:r w:rsidR="00A83696" w:rsidRPr="00167083">
        <w:rPr>
          <w:rFonts w:asciiTheme="minorHAnsi" w:hAnsiTheme="minorHAnsi" w:cstheme="minorHAnsi"/>
          <w:sz w:val="22"/>
          <w:szCs w:val="22"/>
        </w:rPr>
        <w:t xml:space="preserve">aster </w:t>
      </w:r>
      <w:r w:rsidR="00724E59" w:rsidRPr="00167083">
        <w:rPr>
          <w:rFonts w:asciiTheme="minorHAnsi" w:hAnsiTheme="minorHAnsi" w:cstheme="minorHAnsi"/>
          <w:sz w:val="22"/>
          <w:szCs w:val="22"/>
        </w:rPr>
        <w:t>S</w:t>
      </w:r>
      <w:r w:rsidR="00A83696" w:rsidRPr="00167083">
        <w:rPr>
          <w:rFonts w:asciiTheme="minorHAnsi" w:hAnsiTheme="minorHAnsi" w:cstheme="minorHAnsi"/>
          <w:sz w:val="22"/>
          <w:szCs w:val="22"/>
        </w:rPr>
        <w:t xml:space="preserve">yllabus serves as a guide and standard for all instructors teaching </w:t>
      </w:r>
      <w:r w:rsidR="00724E59" w:rsidRPr="00167083">
        <w:rPr>
          <w:rFonts w:asciiTheme="minorHAnsi" w:hAnsiTheme="minorHAnsi" w:cstheme="minorHAnsi"/>
          <w:sz w:val="22"/>
          <w:szCs w:val="22"/>
        </w:rPr>
        <w:t>an approved</w:t>
      </w:r>
      <w:r w:rsidR="00F912A5" w:rsidRPr="00167083">
        <w:rPr>
          <w:rFonts w:asciiTheme="minorHAnsi" w:hAnsiTheme="minorHAnsi" w:cstheme="minorHAnsi"/>
          <w:sz w:val="22"/>
          <w:szCs w:val="22"/>
        </w:rPr>
        <w:t xml:space="preserve"> course</w:t>
      </w:r>
      <w:r w:rsidR="00724E59" w:rsidRPr="00167083">
        <w:rPr>
          <w:rFonts w:asciiTheme="minorHAnsi" w:hAnsiTheme="minorHAnsi" w:cstheme="minorHAnsi"/>
          <w:sz w:val="22"/>
          <w:szCs w:val="22"/>
        </w:rPr>
        <w:t xml:space="preserve"> </w:t>
      </w:r>
      <w:r w:rsidR="00FD4B19" w:rsidRPr="00167083">
        <w:rPr>
          <w:rFonts w:asciiTheme="minorHAnsi" w:hAnsiTheme="minorHAnsi" w:cstheme="minorHAnsi"/>
          <w:sz w:val="22"/>
          <w:szCs w:val="22"/>
        </w:rPr>
        <w:t>in</w:t>
      </w:r>
      <w:r w:rsidR="00A83696" w:rsidRPr="00167083">
        <w:rPr>
          <w:rFonts w:asciiTheme="minorHAnsi" w:hAnsiTheme="minorHAnsi" w:cstheme="minorHAnsi"/>
          <w:sz w:val="22"/>
          <w:szCs w:val="22"/>
        </w:rPr>
        <w:t xml:space="preserve"> the University Studies program.  Individual instructors </w:t>
      </w:r>
      <w:r w:rsidRPr="00167083">
        <w:rPr>
          <w:rFonts w:asciiTheme="minorHAnsi" w:hAnsiTheme="minorHAnsi" w:cstheme="minorHAnsi"/>
          <w:sz w:val="22"/>
          <w:szCs w:val="22"/>
        </w:rPr>
        <w:t>have</w:t>
      </w:r>
      <w:r w:rsidR="00A83696" w:rsidRPr="00167083">
        <w:rPr>
          <w:rFonts w:asciiTheme="minorHAnsi" w:hAnsiTheme="minorHAnsi" w:cstheme="minorHAnsi"/>
          <w:sz w:val="22"/>
          <w:szCs w:val="22"/>
        </w:rPr>
        <w:t xml:space="preserve"> full academic freedom in teaching their courses, but </w:t>
      </w:r>
      <w:r w:rsidRPr="00167083">
        <w:rPr>
          <w:rFonts w:asciiTheme="minorHAnsi" w:hAnsiTheme="minorHAnsi" w:cstheme="minorHAnsi"/>
          <w:sz w:val="22"/>
          <w:szCs w:val="22"/>
        </w:rPr>
        <w:t xml:space="preserve">as a condition of course approval, </w:t>
      </w:r>
      <w:r w:rsidR="00A83696" w:rsidRPr="00167083">
        <w:rPr>
          <w:rFonts w:asciiTheme="minorHAnsi" w:hAnsiTheme="minorHAnsi" w:cstheme="minorHAnsi"/>
          <w:sz w:val="22"/>
          <w:szCs w:val="22"/>
        </w:rPr>
        <w:t xml:space="preserve">agree to </w:t>
      </w:r>
      <w:r w:rsidRPr="00167083">
        <w:rPr>
          <w:rFonts w:asciiTheme="minorHAnsi" w:hAnsiTheme="minorHAnsi" w:cstheme="minorHAnsi"/>
          <w:sz w:val="22"/>
          <w:szCs w:val="22"/>
        </w:rPr>
        <w:t xml:space="preserve">focus on the </w:t>
      </w:r>
      <w:r w:rsidR="00A83696" w:rsidRPr="00167083">
        <w:rPr>
          <w:rFonts w:asciiTheme="minorHAnsi" w:hAnsiTheme="minorHAnsi" w:cstheme="minorHAnsi"/>
          <w:sz w:val="22"/>
          <w:szCs w:val="22"/>
        </w:rPr>
        <w:t xml:space="preserve">outcomes listed below, to cover the identified material, to use these or comparable assignments as part of the course work, and to </w:t>
      </w:r>
      <w:r w:rsidR="00724E59" w:rsidRPr="00167083">
        <w:rPr>
          <w:rFonts w:asciiTheme="minorHAnsi" w:hAnsiTheme="minorHAnsi" w:cstheme="minorHAnsi"/>
          <w:sz w:val="22"/>
          <w:szCs w:val="22"/>
        </w:rPr>
        <w:t>make available</w:t>
      </w:r>
      <w:r w:rsidR="00FD4B19" w:rsidRPr="00167083">
        <w:rPr>
          <w:rFonts w:asciiTheme="minorHAnsi" w:hAnsiTheme="minorHAnsi" w:cstheme="minorHAnsi"/>
          <w:sz w:val="22"/>
          <w:szCs w:val="22"/>
        </w:rPr>
        <w:t xml:space="preserve"> the agreed-</w:t>
      </w:r>
      <w:r w:rsidR="00A83696" w:rsidRPr="00167083">
        <w:rPr>
          <w:rFonts w:asciiTheme="minorHAnsi" w:hAnsiTheme="minorHAnsi" w:cstheme="minorHAnsi"/>
          <w:sz w:val="22"/>
          <w:szCs w:val="22"/>
        </w:rPr>
        <w:t>upon artifacts for assessment of learning outcomes.</w:t>
      </w:r>
    </w:p>
    <w:p w:rsidR="00584CD0" w:rsidRPr="00167083" w:rsidRDefault="00584CD0" w:rsidP="00584CD0">
      <w:pPr>
        <w:jc w:val="both"/>
        <w:rPr>
          <w:rFonts w:asciiTheme="minorHAnsi" w:hAnsiTheme="minorHAnsi"/>
          <w:b/>
        </w:rPr>
      </w:pPr>
    </w:p>
    <w:p w:rsidR="00584CD0" w:rsidRPr="00167083" w:rsidRDefault="00584CD0" w:rsidP="00584CD0">
      <w:pPr>
        <w:pBdr>
          <w:bottom w:val="single" w:sz="4" w:space="1" w:color="auto"/>
        </w:pBdr>
        <w:jc w:val="both"/>
        <w:rPr>
          <w:rFonts w:asciiTheme="minorHAnsi" w:hAnsiTheme="minorHAnsi"/>
          <w:b/>
        </w:rPr>
      </w:pPr>
      <w:r w:rsidRPr="00167083">
        <w:rPr>
          <w:rFonts w:asciiTheme="minorHAnsi" w:hAnsiTheme="minorHAnsi"/>
          <w:b/>
        </w:rPr>
        <w:t>COURSE OVERVIEW</w:t>
      </w:r>
    </w:p>
    <w:p w:rsidR="00C207AA" w:rsidRPr="00167083" w:rsidRDefault="00A0688C" w:rsidP="00E92305">
      <w:pPr>
        <w:spacing w:before="120"/>
        <w:rPr>
          <w:rFonts w:asciiTheme="minorHAnsi" w:hAnsiTheme="minorHAnsi"/>
        </w:rPr>
      </w:pPr>
      <w:r w:rsidRPr="00167083">
        <w:rPr>
          <w:rFonts w:asciiTheme="minorHAnsi" w:hAnsiTheme="minorHAnsi"/>
          <w:sz w:val="22"/>
        </w:rPr>
        <w:t>This course provides Sociology, Anthropology, and Crime and Justice Studies majors opportunities to integrate theoretical approaches and methodological skills lea</w:t>
      </w:r>
      <w:r w:rsidR="00364D5E" w:rsidRPr="00167083">
        <w:rPr>
          <w:rFonts w:asciiTheme="minorHAnsi" w:hAnsiTheme="minorHAnsi"/>
          <w:sz w:val="22"/>
        </w:rPr>
        <w:t>rned in the classroom with real-</w:t>
      </w:r>
      <w:r w:rsidRPr="00167083">
        <w:rPr>
          <w:rFonts w:asciiTheme="minorHAnsi" w:hAnsiTheme="minorHAnsi"/>
          <w:sz w:val="22"/>
        </w:rPr>
        <w:t>world work environments, and to reflect on the connections between the two.  Internship assignments must be related to the student’s professional and intellectual areas of interest and take place in a private or public organization that provides valuable services to the community.  Sample placements include:  social service organizations, advocacy</w:t>
      </w:r>
      <w:r w:rsidR="00364D5E" w:rsidRPr="00167083">
        <w:rPr>
          <w:rFonts w:asciiTheme="minorHAnsi" w:hAnsiTheme="minorHAnsi"/>
          <w:sz w:val="22"/>
        </w:rPr>
        <w:t xml:space="preserve"> programs</w:t>
      </w:r>
      <w:r w:rsidRPr="00167083">
        <w:rPr>
          <w:rFonts w:asciiTheme="minorHAnsi" w:hAnsiTheme="minorHAnsi"/>
          <w:sz w:val="22"/>
        </w:rPr>
        <w:t>, health</w:t>
      </w:r>
      <w:r w:rsidR="00364D5E" w:rsidRPr="00167083">
        <w:rPr>
          <w:rFonts w:asciiTheme="minorHAnsi" w:hAnsiTheme="minorHAnsi"/>
          <w:sz w:val="22"/>
        </w:rPr>
        <w:t xml:space="preserve"> and social welfare agencies</w:t>
      </w:r>
      <w:r w:rsidRPr="00167083">
        <w:rPr>
          <w:rFonts w:asciiTheme="minorHAnsi" w:hAnsiTheme="minorHAnsi"/>
          <w:sz w:val="22"/>
        </w:rPr>
        <w:t>, cultural institutions, schools, and public service departments of local and state governments, including the criminal justice system.  Students are required to provide approximately 130 hours of service, chronicle their experiences in journals or other periodic writing assignments, attend an average of seven class meetings, complete reading assignments, comple</w:t>
      </w:r>
      <w:r w:rsidR="00364D5E" w:rsidRPr="00167083">
        <w:rPr>
          <w:rFonts w:asciiTheme="minorHAnsi" w:hAnsiTheme="minorHAnsi"/>
          <w:sz w:val="22"/>
        </w:rPr>
        <w:t>te a final project summarizing</w:t>
      </w:r>
      <w:r w:rsidRPr="00167083">
        <w:rPr>
          <w:rFonts w:asciiTheme="minorHAnsi" w:hAnsiTheme="minorHAnsi"/>
          <w:sz w:val="22"/>
        </w:rPr>
        <w:t xml:space="preserve"> and reflect</w:t>
      </w:r>
      <w:r w:rsidR="00364D5E" w:rsidRPr="00167083">
        <w:rPr>
          <w:rFonts w:asciiTheme="minorHAnsi" w:hAnsiTheme="minorHAnsi"/>
          <w:sz w:val="22"/>
        </w:rPr>
        <w:t>ing</w:t>
      </w:r>
      <w:r w:rsidRPr="00167083">
        <w:rPr>
          <w:rFonts w:asciiTheme="minorHAnsi" w:hAnsiTheme="minorHAnsi"/>
          <w:sz w:val="22"/>
        </w:rPr>
        <w:t xml:space="preserve"> on the internship experience</w:t>
      </w:r>
      <w:r w:rsidR="00E92305" w:rsidRPr="00167083">
        <w:rPr>
          <w:rFonts w:asciiTheme="minorHAnsi" w:hAnsiTheme="minorHAnsi"/>
          <w:sz w:val="22"/>
        </w:rPr>
        <w:t>, and be evaluated by their site supervisor at the completion of the internship</w:t>
      </w:r>
      <w:r w:rsidRPr="00167083">
        <w:rPr>
          <w:rFonts w:asciiTheme="minorHAnsi" w:hAnsiTheme="minorHAnsi"/>
          <w:sz w:val="22"/>
        </w:rPr>
        <w:t>.</w:t>
      </w:r>
      <w:r w:rsidR="00E92305" w:rsidRPr="00167083">
        <w:rPr>
          <w:rFonts w:asciiTheme="minorHAnsi" w:hAnsiTheme="minorHAnsi"/>
        </w:rPr>
        <w:t xml:space="preserve"> </w:t>
      </w:r>
    </w:p>
    <w:p w:rsidR="00584CD0" w:rsidRPr="00167083" w:rsidRDefault="00584CD0" w:rsidP="002B4164">
      <w:pPr>
        <w:ind w:left="720"/>
        <w:rPr>
          <w:rFonts w:asciiTheme="minorHAnsi" w:hAnsiTheme="minorHAnsi" w:cstheme="minorHAnsi"/>
          <w:sz w:val="22"/>
          <w:szCs w:val="22"/>
        </w:rPr>
      </w:pPr>
    </w:p>
    <w:p w:rsidR="00584CD0" w:rsidRPr="00167083" w:rsidRDefault="00584CD0" w:rsidP="00584CD0">
      <w:pPr>
        <w:pBdr>
          <w:bottom w:val="single" w:sz="4" w:space="1" w:color="auto"/>
        </w:pBdr>
        <w:jc w:val="both"/>
        <w:rPr>
          <w:rFonts w:asciiTheme="minorHAnsi" w:hAnsiTheme="minorHAnsi"/>
          <w:b/>
        </w:rPr>
      </w:pPr>
      <w:r w:rsidRPr="00167083">
        <w:rPr>
          <w:rFonts w:asciiTheme="minorHAnsi" w:hAnsiTheme="minorHAnsi"/>
          <w:b/>
        </w:rPr>
        <w:t>LEARNING OUTCOMES</w:t>
      </w:r>
    </w:p>
    <w:p w:rsidR="00584CD0" w:rsidRPr="00167083" w:rsidRDefault="00584CD0" w:rsidP="00584CD0">
      <w:pPr>
        <w:spacing w:before="120"/>
        <w:jc w:val="both"/>
        <w:rPr>
          <w:rFonts w:asciiTheme="minorHAnsi" w:hAnsiTheme="minorHAnsi"/>
          <w:b/>
          <w:i/>
        </w:rPr>
      </w:pPr>
      <w:r w:rsidRPr="00167083">
        <w:rPr>
          <w:rFonts w:asciiTheme="minorHAnsi" w:hAnsiTheme="minorHAnsi"/>
          <w:b/>
          <w:i/>
        </w:rPr>
        <w:t>Course-Specific Learning Outcomes</w:t>
      </w:r>
    </w:p>
    <w:p w:rsidR="00584CD0" w:rsidRPr="00167083" w:rsidRDefault="00584CD0" w:rsidP="00584CD0">
      <w:pPr>
        <w:spacing w:before="120"/>
        <w:rPr>
          <w:rFonts w:asciiTheme="minorHAnsi" w:hAnsiTheme="minorHAnsi" w:cstheme="minorHAnsi"/>
          <w:sz w:val="22"/>
          <w:szCs w:val="22"/>
        </w:rPr>
      </w:pPr>
      <w:r w:rsidRPr="00167083">
        <w:rPr>
          <w:rFonts w:asciiTheme="minorHAnsi" w:hAnsiTheme="minorHAnsi"/>
          <w:sz w:val="22"/>
        </w:rPr>
        <w:t>Upon completion of this requirement, students will be able to:</w:t>
      </w:r>
    </w:p>
    <w:p w:rsidR="00584CD0" w:rsidRPr="00167083" w:rsidRDefault="00584CD0" w:rsidP="00584CD0">
      <w:pPr>
        <w:pStyle w:val="ListParagraph"/>
        <w:numPr>
          <w:ilvl w:val="0"/>
          <w:numId w:val="23"/>
        </w:numPr>
        <w:spacing w:before="120"/>
        <w:ind w:left="1080"/>
        <w:contextualSpacing w:val="0"/>
        <w:rPr>
          <w:rFonts w:asciiTheme="minorHAnsi" w:hAnsiTheme="minorHAnsi" w:cstheme="minorHAnsi"/>
          <w:sz w:val="22"/>
          <w:szCs w:val="22"/>
        </w:rPr>
      </w:pPr>
      <w:r w:rsidRPr="00167083">
        <w:rPr>
          <w:rFonts w:asciiTheme="minorHAnsi" w:hAnsiTheme="minorHAnsi" w:cstheme="minorHAnsi"/>
          <w:sz w:val="22"/>
          <w:szCs w:val="22"/>
        </w:rPr>
        <w:t>Apply social science theories and methods to observing and analyzing human behavior and social structures.</w:t>
      </w:r>
    </w:p>
    <w:p w:rsidR="00584CD0" w:rsidRPr="00167083" w:rsidRDefault="00584CD0" w:rsidP="00584CD0">
      <w:pPr>
        <w:pStyle w:val="ListParagraph"/>
        <w:numPr>
          <w:ilvl w:val="0"/>
          <w:numId w:val="23"/>
        </w:numPr>
        <w:ind w:left="1080"/>
        <w:rPr>
          <w:rFonts w:asciiTheme="minorHAnsi" w:hAnsiTheme="minorHAnsi" w:cstheme="minorHAnsi"/>
          <w:sz w:val="22"/>
          <w:szCs w:val="22"/>
        </w:rPr>
      </w:pPr>
      <w:r w:rsidRPr="00167083">
        <w:rPr>
          <w:rFonts w:asciiTheme="minorHAnsi" w:hAnsiTheme="minorHAnsi" w:cstheme="minorHAnsi"/>
          <w:sz w:val="22"/>
          <w:szCs w:val="22"/>
        </w:rPr>
        <w:t>Identify skills that they need to improve in order to succeed in the world of work.</w:t>
      </w:r>
    </w:p>
    <w:p w:rsidR="00584CD0" w:rsidRPr="00167083" w:rsidRDefault="00584CD0" w:rsidP="00584CD0">
      <w:pPr>
        <w:pStyle w:val="ListParagraph"/>
        <w:numPr>
          <w:ilvl w:val="0"/>
          <w:numId w:val="23"/>
        </w:numPr>
        <w:ind w:left="1080"/>
        <w:rPr>
          <w:rFonts w:asciiTheme="minorHAnsi" w:hAnsiTheme="minorHAnsi" w:cstheme="minorHAnsi"/>
          <w:sz w:val="22"/>
          <w:szCs w:val="22"/>
        </w:rPr>
      </w:pPr>
      <w:r w:rsidRPr="00167083">
        <w:rPr>
          <w:rFonts w:asciiTheme="minorHAnsi" w:hAnsiTheme="minorHAnsi" w:cstheme="minorHAnsi"/>
          <w:sz w:val="22"/>
          <w:szCs w:val="22"/>
        </w:rPr>
        <w:t>Develop and apply communication, critical thinking, time-management, and problem-solving skills in a real work environment.</w:t>
      </w:r>
    </w:p>
    <w:p w:rsidR="00584CD0" w:rsidRPr="00167083" w:rsidRDefault="00584CD0" w:rsidP="00584CD0">
      <w:pPr>
        <w:pStyle w:val="ListParagraph"/>
        <w:numPr>
          <w:ilvl w:val="0"/>
          <w:numId w:val="23"/>
        </w:numPr>
        <w:ind w:left="1080"/>
        <w:rPr>
          <w:rFonts w:asciiTheme="minorHAnsi" w:hAnsiTheme="minorHAnsi" w:cstheme="minorHAnsi"/>
          <w:sz w:val="22"/>
          <w:szCs w:val="22"/>
        </w:rPr>
      </w:pPr>
      <w:r w:rsidRPr="00167083">
        <w:rPr>
          <w:rFonts w:asciiTheme="minorHAnsi" w:hAnsiTheme="minorHAnsi" w:cstheme="minorHAnsi"/>
          <w:sz w:val="22"/>
          <w:szCs w:val="22"/>
        </w:rPr>
        <w:t>Approach and carry out work assignments with professionalism, creativity, responsibility and initiative.</w:t>
      </w:r>
    </w:p>
    <w:p w:rsidR="00584CD0" w:rsidRPr="00167083" w:rsidRDefault="00584CD0" w:rsidP="00584CD0">
      <w:pPr>
        <w:jc w:val="both"/>
        <w:rPr>
          <w:rFonts w:asciiTheme="minorHAnsi" w:hAnsiTheme="minorHAnsi"/>
          <w:b/>
          <w:i/>
        </w:rPr>
      </w:pPr>
    </w:p>
    <w:p w:rsidR="00A154D6" w:rsidRPr="00167083" w:rsidRDefault="00584CD0" w:rsidP="00584CD0">
      <w:pPr>
        <w:jc w:val="both"/>
        <w:rPr>
          <w:rFonts w:asciiTheme="minorHAnsi" w:hAnsiTheme="minorHAnsi"/>
          <w:b/>
        </w:rPr>
      </w:pPr>
      <w:r w:rsidRPr="00167083">
        <w:rPr>
          <w:rFonts w:asciiTheme="minorHAnsi" w:hAnsiTheme="minorHAnsi"/>
          <w:b/>
          <w:i/>
        </w:rPr>
        <w:t>University Studies Learning Outcomes:</w:t>
      </w:r>
    </w:p>
    <w:p w:rsidR="00A83696" w:rsidRPr="00167083" w:rsidRDefault="00A154D6" w:rsidP="00584CD0">
      <w:pPr>
        <w:spacing w:before="120"/>
        <w:rPr>
          <w:rFonts w:asciiTheme="minorHAnsi" w:hAnsiTheme="minorHAnsi" w:cstheme="minorHAnsi"/>
          <w:sz w:val="22"/>
          <w:szCs w:val="22"/>
        </w:rPr>
      </w:pPr>
      <w:r w:rsidRPr="00167083">
        <w:rPr>
          <w:rFonts w:asciiTheme="minorHAnsi" w:hAnsiTheme="minorHAnsi"/>
          <w:sz w:val="22"/>
        </w:rPr>
        <w:t>Upon completion of this requirement, students will be able to:</w:t>
      </w:r>
    </w:p>
    <w:p w:rsidR="00A154D6" w:rsidRPr="00167083" w:rsidRDefault="00C207AA" w:rsidP="00584CD0">
      <w:pPr>
        <w:pStyle w:val="NormalWeb"/>
        <w:numPr>
          <w:ilvl w:val="0"/>
          <w:numId w:val="24"/>
        </w:numPr>
        <w:spacing w:before="120" w:beforeAutospacing="0" w:after="0" w:afterAutospacing="0"/>
        <w:ind w:left="1080"/>
        <w:rPr>
          <w:rFonts w:asciiTheme="minorHAnsi" w:hAnsiTheme="minorHAnsi" w:cstheme="minorHAnsi"/>
          <w:color w:val="333333"/>
          <w:sz w:val="22"/>
          <w:szCs w:val="22"/>
        </w:rPr>
      </w:pPr>
      <w:r w:rsidRPr="00167083">
        <w:rPr>
          <w:rFonts w:asciiTheme="minorHAnsi" w:hAnsiTheme="minorHAnsi" w:cstheme="minorHAnsi"/>
          <w:color w:val="333333"/>
          <w:sz w:val="22"/>
          <w:szCs w:val="22"/>
        </w:rPr>
        <w:t>Identify the needs and resources of the communities to which they belong.</w:t>
      </w:r>
    </w:p>
    <w:p w:rsidR="00A154D6" w:rsidRPr="00167083" w:rsidRDefault="00C207AA" w:rsidP="00584CD0">
      <w:pPr>
        <w:pStyle w:val="NormalWeb"/>
        <w:numPr>
          <w:ilvl w:val="0"/>
          <w:numId w:val="24"/>
        </w:numPr>
        <w:spacing w:before="0" w:beforeAutospacing="0" w:after="0" w:afterAutospacing="0"/>
        <w:ind w:left="1080"/>
        <w:rPr>
          <w:rFonts w:asciiTheme="minorHAnsi" w:hAnsiTheme="minorHAnsi" w:cstheme="minorHAnsi"/>
          <w:color w:val="333333"/>
          <w:sz w:val="22"/>
          <w:szCs w:val="22"/>
        </w:rPr>
      </w:pPr>
      <w:r w:rsidRPr="00167083">
        <w:rPr>
          <w:rFonts w:asciiTheme="minorHAnsi" w:hAnsiTheme="minorHAnsi" w:cstheme="minorHAnsi"/>
          <w:color w:val="333333"/>
          <w:sz w:val="22"/>
          <w:szCs w:val="22"/>
        </w:rPr>
        <w:t>Apply knowledge and skills gained through academic study to real problems and/or opportunities within their communities.</w:t>
      </w:r>
    </w:p>
    <w:p w:rsidR="00A154D6" w:rsidRPr="00167083" w:rsidRDefault="00C207AA" w:rsidP="00584CD0">
      <w:pPr>
        <w:pStyle w:val="NormalWeb"/>
        <w:numPr>
          <w:ilvl w:val="0"/>
          <w:numId w:val="24"/>
        </w:numPr>
        <w:spacing w:before="0" w:beforeAutospacing="0" w:after="0" w:afterAutospacing="0"/>
        <w:ind w:left="1080"/>
        <w:rPr>
          <w:rFonts w:asciiTheme="minorHAnsi" w:hAnsiTheme="minorHAnsi" w:cstheme="minorHAnsi"/>
          <w:color w:val="333333"/>
          <w:sz w:val="22"/>
          <w:szCs w:val="22"/>
        </w:rPr>
      </w:pPr>
      <w:r w:rsidRPr="00167083">
        <w:rPr>
          <w:rFonts w:asciiTheme="minorHAnsi" w:hAnsiTheme="minorHAnsi" w:cstheme="minorHAnsi"/>
          <w:color w:val="333333"/>
          <w:sz w:val="22"/>
          <w:szCs w:val="22"/>
        </w:rPr>
        <w:t>Describe the connections between learning on campus and the issues and needs of broader academic, professional or civic communities.</w:t>
      </w:r>
    </w:p>
    <w:p w:rsidR="00167083" w:rsidRDefault="00C207AA" w:rsidP="00167083">
      <w:pPr>
        <w:pStyle w:val="NormalWeb"/>
        <w:numPr>
          <w:ilvl w:val="0"/>
          <w:numId w:val="24"/>
        </w:numPr>
        <w:tabs>
          <w:tab w:val="left" w:pos="10080"/>
        </w:tabs>
        <w:spacing w:before="0" w:beforeAutospacing="0" w:after="0" w:afterAutospacing="0"/>
        <w:ind w:left="1080"/>
        <w:rPr>
          <w:rFonts w:asciiTheme="minorHAnsi" w:hAnsiTheme="minorHAnsi" w:cstheme="minorHAnsi"/>
          <w:color w:val="333333"/>
          <w:sz w:val="22"/>
          <w:szCs w:val="22"/>
        </w:rPr>
      </w:pPr>
      <w:r w:rsidRPr="00167083">
        <w:rPr>
          <w:rFonts w:asciiTheme="minorHAnsi" w:hAnsiTheme="minorHAnsi" w:cstheme="minorHAnsi"/>
          <w:color w:val="333333"/>
          <w:sz w:val="22"/>
          <w:szCs w:val="22"/>
        </w:rPr>
        <w:t>Articulate the value of engagement to other members of their communities.</w:t>
      </w:r>
    </w:p>
    <w:p w:rsidR="00C207AA" w:rsidRPr="00167083" w:rsidRDefault="00C207AA" w:rsidP="00167083">
      <w:pPr>
        <w:pStyle w:val="NormalWeb"/>
        <w:tabs>
          <w:tab w:val="left" w:pos="10080"/>
        </w:tabs>
        <w:spacing w:before="0" w:beforeAutospacing="0" w:after="0" w:afterAutospacing="0"/>
        <w:ind w:left="360"/>
        <w:rPr>
          <w:rFonts w:asciiTheme="minorHAnsi" w:hAnsiTheme="minorHAnsi" w:cstheme="minorHAnsi"/>
          <w:color w:val="333333"/>
          <w:sz w:val="22"/>
          <w:szCs w:val="22"/>
        </w:rPr>
      </w:pPr>
    </w:p>
    <w:p w:rsidR="00364D5E" w:rsidRPr="00167083" w:rsidRDefault="00364D5E" w:rsidP="00364D5E">
      <w:pPr>
        <w:pBdr>
          <w:bottom w:val="single" w:sz="4" w:space="1" w:color="auto"/>
        </w:pBdr>
        <w:jc w:val="both"/>
        <w:rPr>
          <w:rFonts w:asciiTheme="minorHAnsi" w:hAnsiTheme="minorHAnsi"/>
          <w:b/>
        </w:rPr>
      </w:pPr>
      <w:r w:rsidRPr="00167083">
        <w:rPr>
          <w:rFonts w:asciiTheme="minorHAnsi" w:hAnsiTheme="minorHAnsi"/>
          <w:b/>
        </w:rPr>
        <w:lastRenderedPageBreak/>
        <w:t>EXAMPLES OF TEXTS AND/OR ASSIGNED READINGSS</w:t>
      </w:r>
    </w:p>
    <w:p w:rsidR="00A96C62" w:rsidRPr="00167083" w:rsidRDefault="00A96C62" w:rsidP="00BF62A9">
      <w:pPr>
        <w:pStyle w:val="NormalIndent"/>
        <w:spacing w:before="120"/>
        <w:ind w:left="360"/>
        <w:rPr>
          <w:rFonts w:asciiTheme="minorHAnsi" w:hAnsiTheme="minorHAnsi"/>
          <w:b/>
          <w:i/>
          <w:sz w:val="22"/>
        </w:rPr>
      </w:pPr>
      <w:r w:rsidRPr="00167083">
        <w:rPr>
          <w:rFonts w:asciiTheme="minorHAnsi" w:hAnsiTheme="minorHAnsi"/>
          <w:b/>
          <w:i/>
          <w:sz w:val="22"/>
        </w:rPr>
        <w:t>Textbooks:</w:t>
      </w:r>
    </w:p>
    <w:p w:rsidR="00A96C62" w:rsidRPr="00167083" w:rsidRDefault="00A96C62" w:rsidP="00A96C62">
      <w:pPr>
        <w:ind w:left="1224" w:hanging="504"/>
        <w:rPr>
          <w:rFonts w:asciiTheme="minorHAnsi" w:hAnsiTheme="minorHAnsi"/>
          <w:sz w:val="22"/>
        </w:rPr>
      </w:pPr>
      <w:r w:rsidRPr="00167083">
        <w:rPr>
          <w:rFonts w:asciiTheme="minorHAnsi" w:hAnsiTheme="minorHAnsi"/>
          <w:sz w:val="22"/>
        </w:rPr>
        <w:t xml:space="preserve">Sweizer, H. Frederick and Mary A. King. 2008. </w:t>
      </w:r>
      <w:r w:rsidRPr="00167083">
        <w:rPr>
          <w:rFonts w:asciiTheme="minorHAnsi" w:hAnsiTheme="minorHAnsi"/>
          <w:i/>
          <w:sz w:val="22"/>
        </w:rPr>
        <w:t>The Successful Internship: Transformation and Empowerment in Experiential Learning.</w:t>
      </w:r>
    </w:p>
    <w:p w:rsidR="00A96C62" w:rsidRPr="00167083" w:rsidRDefault="00A96C62" w:rsidP="00A96C62">
      <w:pPr>
        <w:ind w:left="360"/>
        <w:rPr>
          <w:rFonts w:asciiTheme="minorHAnsi" w:hAnsiTheme="minorHAnsi"/>
          <w:b/>
          <w:i/>
          <w:sz w:val="22"/>
        </w:rPr>
      </w:pPr>
      <w:r w:rsidRPr="00167083">
        <w:rPr>
          <w:rFonts w:asciiTheme="minorHAnsi" w:hAnsiTheme="minorHAnsi"/>
          <w:b/>
          <w:i/>
          <w:sz w:val="22"/>
        </w:rPr>
        <w:t xml:space="preserve">Books: </w:t>
      </w:r>
    </w:p>
    <w:p w:rsidR="00A96C62" w:rsidRPr="00167083" w:rsidRDefault="00A96C62" w:rsidP="00A96C62">
      <w:pPr>
        <w:pStyle w:val="BodyText"/>
        <w:spacing w:after="0"/>
        <w:ind w:left="1440" w:hanging="720"/>
        <w:rPr>
          <w:rFonts w:asciiTheme="minorHAnsi" w:hAnsiTheme="minorHAnsi"/>
          <w:sz w:val="22"/>
          <w:szCs w:val="22"/>
        </w:rPr>
      </w:pPr>
      <w:r w:rsidRPr="00167083">
        <w:rPr>
          <w:rFonts w:asciiTheme="minorHAnsi" w:hAnsiTheme="minorHAnsi"/>
          <w:sz w:val="22"/>
          <w:szCs w:val="22"/>
        </w:rPr>
        <w:t xml:space="preserve">Freire, Paulo. </w:t>
      </w:r>
      <w:r w:rsidR="00254B25" w:rsidRPr="00167083">
        <w:rPr>
          <w:rFonts w:asciiTheme="minorHAnsi" w:hAnsiTheme="minorHAnsi"/>
          <w:sz w:val="22"/>
          <w:szCs w:val="22"/>
        </w:rPr>
        <w:t xml:space="preserve">1970. </w:t>
      </w:r>
      <w:r w:rsidRPr="00167083">
        <w:rPr>
          <w:rFonts w:asciiTheme="minorHAnsi" w:hAnsiTheme="minorHAnsi"/>
          <w:i/>
          <w:sz w:val="22"/>
          <w:szCs w:val="22"/>
        </w:rPr>
        <w:t xml:space="preserve"> Pedagogy of the Oppressed.</w:t>
      </w:r>
      <w:r w:rsidR="00254B25" w:rsidRPr="00167083">
        <w:rPr>
          <w:rFonts w:asciiTheme="minorHAnsi" w:hAnsiTheme="minorHAnsi"/>
          <w:i/>
          <w:sz w:val="22"/>
          <w:szCs w:val="22"/>
        </w:rPr>
        <w:t xml:space="preserve"> </w:t>
      </w:r>
      <w:r w:rsidR="00254B25" w:rsidRPr="00167083">
        <w:rPr>
          <w:rFonts w:asciiTheme="minorHAnsi" w:hAnsiTheme="minorHAnsi"/>
          <w:sz w:val="22"/>
          <w:szCs w:val="22"/>
        </w:rPr>
        <w:t>The Continuum International Publishing Group Ltd.</w:t>
      </w:r>
    </w:p>
    <w:p w:rsidR="00A96C62" w:rsidRPr="00167083" w:rsidRDefault="00A96C62" w:rsidP="00A96C62">
      <w:pPr>
        <w:pStyle w:val="Default"/>
        <w:ind w:left="1224" w:hanging="504"/>
        <w:rPr>
          <w:rFonts w:asciiTheme="minorHAnsi" w:hAnsiTheme="minorHAnsi"/>
          <w:color w:val="auto"/>
          <w:sz w:val="22"/>
          <w:szCs w:val="22"/>
        </w:rPr>
      </w:pPr>
      <w:r w:rsidRPr="00167083">
        <w:rPr>
          <w:rFonts w:asciiTheme="minorHAnsi" w:hAnsiTheme="minorHAnsi"/>
          <w:color w:val="auto"/>
          <w:sz w:val="22"/>
          <w:szCs w:val="22"/>
        </w:rPr>
        <w:t xml:space="preserve">Hirschhorn, Larry. 1990.  </w:t>
      </w:r>
      <w:r w:rsidRPr="00167083">
        <w:rPr>
          <w:rFonts w:asciiTheme="minorHAnsi" w:hAnsiTheme="minorHAnsi"/>
          <w:i/>
          <w:color w:val="auto"/>
          <w:sz w:val="22"/>
          <w:szCs w:val="22"/>
        </w:rPr>
        <w:t>The Workplace Within:  Psychodynamics of Organizational Life</w:t>
      </w:r>
      <w:r w:rsidRPr="00167083">
        <w:rPr>
          <w:rFonts w:asciiTheme="minorHAnsi" w:hAnsiTheme="minorHAnsi"/>
          <w:color w:val="auto"/>
          <w:sz w:val="22"/>
          <w:szCs w:val="22"/>
        </w:rPr>
        <w:t xml:space="preserve">.  Cambridge, MA:  MIT Press. </w:t>
      </w:r>
    </w:p>
    <w:p w:rsidR="00A96C62" w:rsidRPr="00167083" w:rsidRDefault="00A96C62" w:rsidP="00A96C62">
      <w:pPr>
        <w:pStyle w:val="Default"/>
        <w:ind w:left="1224" w:hanging="504"/>
        <w:rPr>
          <w:rFonts w:asciiTheme="minorHAnsi" w:hAnsiTheme="minorHAnsi"/>
          <w:color w:val="auto"/>
          <w:sz w:val="22"/>
          <w:szCs w:val="22"/>
        </w:rPr>
      </w:pPr>
      <w:r w:rsidRPr="00167083">
        <w:rPr>
          <w:rFonts w:asciiTheme="minorHAnsi" w:hAnsiTheme="minorHAnsi"/>
          <w:color w:val="auto"/>
          <w:sz w:val="22"/>
          <w:szCs w:val="22"/>
        </w:rPr>
        <w:t xml:space="preserve">Lukes, Steven.  2005.  </w:t>
      </w:r>
      <w:r w:rsidRPr="00167083">
        <w:rPr>
          <w:rFonts w:asciiTheme="minorHAnsi" w:hAnsiTheme="minorHAnsi"/>
          <w:i/>
          <w:color w:val="auto"/>
          <w:sz w:val="22"/>
          <w:szCs w:val="22"/>
        </w:rPr>
        <w:t>Power: A Radical View</w:t>
      </w:r>
      <w:r w:rsidRPr="00167083">
        <w:rPr>
          <w:rFonts w:asciiTheme="minorHAnsi" w:hAnsiTheme="minorHAnsi"/>
          <w:color w:val="auto"/>
          <w:sz w:val="22"/>
          <w:szCs w:val="22"/>
        </w:rPr>
        <w:t>.  Palgrave MacMillan.</w:t>
      </w:r>
    </w:p>
    <w:p w:rsidR="00A96C62" w:rsidRPr="00167083" w:rsidRDefault="00A96C62" w:rsidP="00A96C62">
      <w:pPr>
        <w:pStyle w:val="BodyText"/>
        <w:spacing w:after="0"/>
        <w:ind w:left="1440" w:hanging="720"/>
        <w:rPr>
          <w:rFonts w:asciiTheme="minorHAnsi" w:hAnsiTheme="minorHAnsi"/>
          <w:sz w:val="22"/>
          <w:szCs w:val="22"/>
        </w:rPr>
      </w:pPr>
      <w:r w:rsidRPr="00167083">
        <w:rPr>
          <w:rFonts w:asciiTheme="minorHAnsi" w:hAnsiTheme="minorHAnsi"/>
          <w:sz w:val="22"/>
          <w:szCs w:val="22"/>
        </w:rPr>
        <w:t xml:space="preserve">Mills, C. Wright.  1959.  </w:t>
      </w:r>
      <w:r w:rsidRPr="00167083">
        <w:rPr>
          <w:rFonts w:asciiTheme="minorHAnsi" w:hAnsiTheme="minorHAnsi"/>
          <w:i/>
          <w:sz w:val="22"/>
          <w:szCs w:val="22"/>
        </w:rPr>
        <w:t>The Sociological Imagination</w:t>
      </w:r>
      <w:r w:rsidRPr="00167083">
        <w:rPr>
          <w:rFonts w:asciiTheme="minorHAnsi" w:hAnsiTheme="minorHAnsi"/>
          <w:sz w:val="22"/>
          <w:szCs w:val="22"/>
        </w:rPr>
        <w:t>.</w:t>
      </w:r>
      <w:r w:rsidR="00254B25" w:rsidRPr="00167083">
        <w:rPr>
          <w:rFonts w:asciiTheme="minorHAnsi" w:hAnsiTheme="minorHAnsi"/>
          <w:sz w:val="22"/>
          <w:szCs w:val="22"/>
        </w:rPr>
        <w:t xml:space="preserve">  Oxford University Press.</w:t>
      </w:r>
    </w:p>
    <w:p w:rsidR="00A96C62" w:rsidRPr="00167083" w:rsidRDefault="00A96C62" w:rsidP="00A96C62">
      <w:pPr>
        <w:pStyle w:val="BodyText"/>
        <w:spacing w:after="0"/>
        <w:ind w:left="1080" w:hanging="720"/>
        <w:rPr>
          <w:rFonts w:asciiTheme="minorHAnsi" w:hAnsiTheme="minorHAnsi"/>
          <w:sz w:val="22"/>
        </w:rPr>
      </w:pPr>
    </w:p>
    <w:p w:rsidR="00A96C62" w:rsidRPr="00167083" w:rsidRDefault="00254B25" w:rsidP="00A96C62">
      <w:pPr>
        <w:pStyle w:val="BodyText"/>
        <w:spacing w:after="0"/>
        <w:ind w:left="1080" w:hanging="720"/>
        <w:rPr>
          <w:rFonts w:asciiTheme="minorHAnsi" w:hAnsiTheme="minorHAnsi"/>
          <w:b/>
          <w:i/>
          <w:sz w:val="22"/>
          <w:szCs w:val="22"/>
        </w:rPr>
      </w:pPr>
      <w:r w:rsidRPr="00167083">
        <w:rPr>
          <w:rFonts w:asciiTheme="minorHAnsi" w:hAnsiTheme="minorHAnsi"/>
          <w:b/>
          <w:i/>
          <w:sz w:val="22"/>
        </w:rPr>
        <w:t xml:space="preserve">Articles and </w:t>
      </w:r>
      <w:r w:rsidR="00A96C62" w:rsidRPr="00167083">
        <w:rPr>
          <w:rFonts w:asciiTheme="minorHAnsi" w:hAnsiTheme="minorHAnsi"/>
          <w:b/>
          <w:i/>
          <w:sz w:val="22"/>
        </w:rPr>
        <w:t>Book Chapters:</w:t>
      </w:r>
    </w:p>
    <w:p w:rsidR="00A96C62" w:rsidRPr="00167083" w:rsidRDefault="00A96C62" w:rsidP="00A96C62">
      <w:pPr>
        <w:spacing w:before="120"/>
        <w:ind w:left="1224" w:hanging="504"/>
        <w:rPr>
          <w:rFonts w:asciiTheme="minorHAnsi" w:hAnsiTheme="minorHAnsi"/>
          <w:sz w:val="22"/>
          <w:szCs w:val="22"/>
        </w:rPr>
      </w:pPr>
      <w:r w:rsidRPr="00167083">
        <w:rPr>
          <w:rFonts w:asciiTheme="minorHAnsi" w:hAnsiTheme="minorHAnsi"/>
          <w:sz w:val="22"/>
          <w:szCs w:val="22"/>
        </w:rPr>
        <w:t>Cohen, Stanley</w:t>
      </w:r>
      <w:r w:rsidR="00254B25" w:rsidRPr="00167083">
        <w:rPr>
          <w:rFonts w:asciiTheme="minorHAnsi" w:hAnsiTheme="minorHAnsi"/>
          <w:sz w:val="22"/>
          <w:szCs w:val="22"/>
        </w:rPr>
        <w:t>. 1985</w:t>
      </w:r>
      <w:r w:rsidRPr="00167083">
        <w:rPr>
          <w:rFonts w:asciiTheme="minorHAnsi" w:hAnsiTheme="minorHAnsi"/>
          <w:sz w:val="22"/>
          <w:szCs w:val="22"/>
        </w:rPr>
        <w:t xml:space="preserve">. “Inside the System” in </w:t>
      </w:r>
      <w:r w:rsidRPr="00167083">
        <w:rPr>
          <w:rFonts w:asciiTheme="minorHAnsi" w:hAnsiTheme="minorHAnsi"/>
          <w:i/>
          <w:sz w:val="22"/>
          <w:szCs w:val="22"/>
        </w:rPr>
        <w:t>Visions of Social Control</w:t>
      </w:r>
      <w:r w:rsidRPr="00167083">
        <w:rPr>
          <w:rFonts w:asciiTheme="minorHAnsi" w:hAnsiTheme="minorHAnsi"/>
          <w:sz w:val="22"/>
          <w:szCs w:val="22"/>
        </w:rPr>
        <w:t>, pp. 40-86.</w:t>
      </w:r>
    </w:p>
    <w:p w:rsidR="00A96C62" w:rsidRPr="00167083" w:rsidRDefault="00A96C62" w:rsidP="00A96C62">
      <w:pPr>
        <w:pStyle w:val="Heading2"/>
        <w:spacing w:before="120"/>
        <w:ind w:left="1224" w:hanging="504"/>
        <w:rPr>
          <w:rFonts w:asciiTheme="minorHAnsi" w:hAnsiTheme="minorHAnsi"/>
          <w:b w:val="0"/>
          <w:sz w:val="22"/>
        </w:rPr>
      </w:pPr>
      <w:r w:rsidRPr="00167083">
        <w:rPr>
          <w:rFonts w:asciiTheme="minorHAnsi" w:hAnsiTheme="minorHAnsi"/>
          <w:b w:val="0"/>
          <w:sz w:val="22"/>
        </w:rPr>
        <w:t>Cohen, Stanley</w:t>
      </w:r>
      <w:r w:rsidR="00254B25" w:rsidRPr="00167083">
        <w:rPr>
          <w:rFonts w:asciiTheme="minorHAnsi" w:hAnsiTheme="minorHAnsi"/>
          <w:b w:val="0"/>
          <w:sz w:val="22"/>
        </w:rPr>
        <w:t>. 1992</w:t>
      </w:r>
      <w:r w:rsidRPr="00167083">
        <w:rPr>
          <w:rFonts w:asciiTheme="minorHAnsi" w:hAnsiTheme="minorHAnsi"/>
          <w:b w:val="0"/>
          <w:sz w:val="22"/>
        </w:rPr>
        <w:t xml:space="preserve">. “The Failures of Criminology” in </w:t>
      </w:r>
      <w:r w:rsidRPr="00167083">
        <w:rPr>
          <w:rFonts w:asciiTheme="minorHAnsi" w:hAnsiTheme="minorHAnsi"/>
          <w:b w:val="0"/>
          <w:i/>
          <w:sz w:val="22"/>
        </w:rPr>
        <w:t>Against Criminology</w:t>
      </w:r>
      <w:r w:rsidRPr="00167083">
        <w:rPr>
          <w:rFonts w:asciiTheme="minorHAnsi" w:hAnsiTheme="minorHAnsi"/>
          <w:b w:val="0"/>
          <w:sz w:val="22"/>
        </w:rPr>
        <w:t>, pp. 46–53.</w:t>
      </w:r>
    </w:p>
    <w:p w:rsidR="00A96C62" w:rsidRPr="00167083" w:rsidRDefault="00A96C62" w:rsidP="00A96C62">
      <w:pPr>
        <w:pStyle w:val="Heading2"/>
        <w:spacing w:before="120"/>
        <w:ind w:left="1224" w:hanging="504"/>
        <w:rPr>
          <w:rFonts w:asciiTheme="minorHAnsi" w:hAnsiTheme="minorHAnsi"/>
          <w:b w:val="0"/>
          <w:sz w:val="22"/>
        </w:rPr>
      </w:pPr>
      <w:r w:rsidRPr="00167083">
        <w:rPr>
          <w:rFonts w:asciiTheme="minorHAnsi" w:hAnsiTheme="minorHAnsi"/>
          <w:b w:val="0"/>
          <w:sz w:val="22"/>
        </w:rPr>
        <w:t>Conti, Norman</w:t>
      </w:r>
      <w:r w:rsidR="00254B25" w:rsidRPr="00167083">
        <w:rPr>
          <w:rFonts w:asciiTheme="minorHAnsi" w:hAnsiTheme="minorHAnsi"/>
          <w:b w:val="0"/>
          <w:sz w:val="22"/>
        </w:rPr>
        <w:t>. 2006.</w:t>
      </w:r>
      <w:r w:rsidRPr="00167083">
        <w:rPr>
          <w:rFonts w:asciiTheme="minorHAnsi" w:hAnsiTheme="minorHAnsi"/>
          <w:b w:val="0"/>
          <w:sz w:val="22"/>
        </w:rPr>
        <w:t xml:space="preserve"> </w:t>
      </w:r>
      <w:r w:rsidR="00254B25" w:rsidRPr="00167083">
        <w:rPr>
          <w:rFonts w:asciiTheme="minorHAnsi" w:hAnsiTheme="minorHAnsi"/>
          <w:b w:val="0"/>
          <w:sz w:val="22"/>
        </w:rPr>
        <w:t>“</w:t>
      </w:r>
      <w:r w:rsidRPr="00167083">
        <w:rPr>
          <w:rFonts w:asciiTheme="minorHAnsi" w:hAnsiTheme="minorHAnsi"/>
          <w:b w:val="0"/>
          <w:sz w:val="22"/>
        </w:rPr>
        <w:t>Role Call: Pre-professional Socialization into Police Culture.</w:t>
      </w:r>
      <w:r w:rsidR="00254B25" w:rsidRPr="00167083">
        <w:rPr>
          <w:rFonts w:asciiTheme="minorHAnsi" w:hAnsiTheme="minorHAnsi"/>
          <w:b w:val="0"/>
          <w:sz w:val="22"/>
        </w:rPr>
        <w:t>”</w:t>
      </w:r>
      <w:r w:rsidRPr="00167083">
        <w:rPr>
          <w:rFonts w:asciiTheme="minorHAnsi" w:hAnsiTheme="minorHAnsi"/>
          <w:b w:val="0"/>
          <w:sz w:val="22"/>
        </w:rPr>
        <w:t xml:space="preserve"> </w:t>
      </w:r>
      <w:r w:rsidRPr="00167083">
        <w:rPr>
          <w:rFonts w:asciiTheme="minorHAnsi" w:hAnsiTheme="minorHAnsi"/>
          <w:b w:val="0"/>
          <w:i/>
          <w:sz w:val="22"/>
        </w:rPr>
        <w:t>Policing &amp; Society</w:t>
      </w:r>
      <w:r w:rsidRPr="00167083">
        <w:rPr>
          <w:rFonts w:asciiTheme="minorHAnsi" w:hAnsiTheme="minorHAnsi"/>
          <w:b w:val="0"/>
          <w:sz w:val="22"/>
        </w:rPr>
        <w:t>, Sep2006, Vol. 16, Issue 3 p. 221-242.</w:t>
      </w:r>
    </w:p>
    <w:p w:rsidR="00167083" w:rsidRDefault="00A96C62" w:rsidP="00167083">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Minnow, Martha. 2002. </w:t>
      </w:r>
      <w:r w:rsidRPr="00167083">
        <w:rPr>
          <w:rFonts w:asciiTheme="minorHAnsi" w:hAnsiTheme="minorHAnsi"/>
          <w:iCs/>
          <w:color w:val="auto"/>
          <w:sz w:val="22"/>
          <w:szCs w:val="22"/>
        </w:rPr>
        <w:t>“About women, about culture: About them, about us</w:t>
      </w:r>
      <w:r w:rsidRPr="00167083">
        <w:rPr>
          <w:rFonts w:asciiTheme="minorHAnsi" w:hAnsiTheme="minorHAnsi"/>
          <w:i/>
          <w:iCs/>
          <w:color w:val="auto"/>
          <w:sz w:val="22"/>
          <w:szCs w:val="22"/>
        </w:rPr>
        <w:t>.</w:t>
      </w:r>
      <w:r w:rsidRPr="00167083">
        <w:rPr>
          <w:rFonts w:asciiTheme="minorHAnsi" w:hAnsiTheme="minorHAnsi"/>
          <w:iCs/>
          <w:color w:val="auto"/>
          <w:sz w:val="22"/>
          <w:szCs w:val="22"/>
        </w:rPr>
        <w:t xml:space="preserve">” </w:t>
      </w:r>
      <w:r w:rsidRPr="00167083">
        <w:rPr>
          <w:rFonts w:asciiTheme="minorHAnsi" w:hAnsiTheme="minorHAnsi"/>
          <w:color w:val="auto"/>
          <w:sz w:val="22"/>
          <w:szCs w:val="22"/>
        </w:rPr>
        <w:t xml:space="preserve">Pp. 252-267 in </w:t>
      </w:r>
      <w:r w:rsidRPr="00167083">
        <w:rPr>
          <w:rFonts w:asciiTheme="minorHAnsi" w:hAnsiTheme="minorHAnsi"/>
          <w:i/>
          <w:color w:val="auto"/>
          <w:sz w:val="22"/>
          <w:szCs w:val="22"/>
        </w:rPr>
        <w:t xml:space="preserve">Multicultural Challenge in Liberal Democracies, </w:t>
      </w:r>
      <w:r w:rsidRPr="00167083">
        <w:rPr>
          <w:rFonts w:asciiTheme="minorHAnsi" w:hAnsiTheme="minorHAnsi"/>
          <w:color w:val="auto"/>
          <w:sz w:val="22"/>
          <w:szCs w:val="22"/>
        </w:rPr>
        <w:t xml:space="preserve">edited by R.A. Shweder, M. Minow, &amp; H.R. Markus. New York: Russell Sage Foundation. </w:t>
      </w:r>
    </w:p>
    <w:p w:rsidR="00167083" w:rsidRPr="00167083" w:rsidRDefault="00167083" w:rsidP="00167083">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Gmelch, George.  “Lessons from the Field”. </w:t>
      </w:r>
    </w:p>
    <w:p w:rsidR="00167083" w:rsidRPr="00167083" w:rsidRDefault="00167083" w:rsidP="00167083">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Gounis, Kostas.  “Urban Marginality and Ethnographic Practice: on the Ethics of Fieldwork.”</w:t>
      </w:r>
    </w:p>
    <w:p w:rsidR="00A96C62" w:rsidRPr="00167083" w:rsidRDefault="00A96C62"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Gutierrez, Lorraine M. and Edith A. Lewis “</w:t>
      </w:r>
      <w:r w:rsidRPr="00167083">
        <w:rPr>
          <w:rFonts w:asciiTheme="minorHAnsi" w:hAnsiTheme="minorHAnsi"/>
          <w:i/>
          <w:iCs/>
          <w:color w:val="auto"/>
          <w:sz w:val="22"/>
          <w:szCs w:val="22"/>
        </w:rPr>
        <w:t>A Feminist Perspective on Organizing with Women of Color</w:t>
      </w:r>
      <w:r w:rsidRPr="00167083">
        <w:rPr>
          <w:rFonts w:asciiTheme="minorHAnsi" w:hAnsiTheme="minorHAnsi"/>
          <w:color w:val="auto"/>
          <w:sz w:val="22"/>
          <w:szCs w:val="22"/>
        </w:rPr>
        <w:t xml:space="preserve">” in </w:t>
      </w:r>
      <w:r w:rsidRPr="00167083">
        <w:rPr>
          <w:rFonts w:asciiTheme="minorHAnsi" w:hAnsiTheme="minorHAnsi"/>
          <w:i/>
          <w:color w:val="auto"/>
          <w:sz w:val="22"/>
          <w:szCs w:val="22"/>
        </w:rPr>
        <w:t>Community Organizing in a Diverse Society</w:t>
      </w:r>
      <w:r w:rsidRPr="00167083">
        <w:rPr>
          <w:rFonts w:asciiTheme="minorHAnsi" w:hAnsiTheme="minorHAnsi"/>
          <w:color w:val="auto"/>
          <w:sz w:val="22"/>
          <w:szCs w:val="22"/>
        </w:rPr>
        <w:t>, Felix G. Rivera and John L. Erlich (eds)</w:t>
      </w:r>
      <w:r w:rsidR="00254B25" w:rsidRPr="00167083">
        <w:rPr>
          <w:rFonts w:asciiTheme="minorHAnsi" w:hAnsiTheme="minorHAnsi"/>
          <w:color w:val="auto"/>
          <w:sz w:val="22"/>
          <w:szCs w:val="22"/>
        </w:rPr>
        <w:t>.</w:t>
      </w:r>
    </w:p>
    <w:p w:rsidR="00A96C62" w:rsidRPr="00167083" w:rsidRDefault="00254B25"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Hurwitz, Jon and</w:t>
      </w:r>
      <w:r w:rsidR="00A96C62" w:rsidRPr="00167083">
        <w:rPr>
          <w:rFonts w:asciiTheme="minorHAnsi" w:hAnsiTheme="minorHAnsi"/>
          <w:color w:val="auto"/>
          <w:sz w:val="22"/>
          <w:szCs w:val="22"/>
        </w:rPr>
        <w:t xml:space="preserve"> </w:t>
      </w:r>
      <w:r w:rsidRPr="00167083">
        <w:rPr>
          <w:rFonts w:asciiTheme="minorHAnsi" w:hAnsiTheme="minorHAnsi"/>
          <w:color w:val="auto"/>
          <w:sz w:val="22"/>
          <w:szCs w:val="22"/>
        </w:rPr>
        <w:t>Mark Peffley</w:t>
      </w:r>
      <w:r w:rsidR="00A96C62" w:rsidRPr="00167083">
        <w:rPr>
          <w:rFonts w:asciiTheme="minorHAnsi" w:hAnsiTheme="minorHAnsi"/>
          <w:color w:val="auto"/>
          <w:sz w:val="22"/>
          <w:szCs w:val="22"/>
        </w:rPr>
        <w:t xml:space="preserve">. 2005.  “Explaining the Great Racial Divide: Perceptions of Fairness in the U.S. Criminal Justice System.”  </w:t>
      </w:r>
      <w:r w:rsidR="00A96C62" w:rsidRPr="00167083">
        <w:rPr>
          <w:rFonts w:asciiTheme="minorHAnsi" w:hAnsiTheme="minorHAnsi"/>
          <w:i/>
          <w:color w:val="auto"/>
          <w:sz w:val="22"/>
          <w:szCs w:val="22"/>
        </w:rPr>
        <w:t>Journal of Politics,</w:t>
      </w:r>
      <w:r w:rsidR="00A96C62" w:rsidRPr="00167083">
        <w:rPr>
          <w:rFonts w:asciiTheme="minorHAnsi" w:hAnsiTheme="minorHAnsi"/>
          <w:color w:val="auto"/>
          <w:sz w:val="22"/>
          <w:szCs w:val="22"/>
        </w:rPr>
        <w:t xml:space="preserve"> Aug 2005, Vol. 67 Issue 3, p762-783.</w:t>
      </w:r>
    </w:p>
    <w:p w:rsidR="00A96C62" w:rsidRPr="00167083" w:rsidRDefault="00A96C62" w:rsidP="00A96C62">
      <w:pPr>
        <w:pStyle w:val="Default"/>
        <w:spacing w:before="120"/>
        <w:ind w:left="1224" w:hanging="504"/>
        <w:rPr>
          <w:rFonts w:asciiTheme="minorHAnsi" w:hAnsiTheme="minorHAnsi"/>
          <w:color w:val="auto"/>
          <w:sz w:val="22"/>
        </w:rPr>
      </w:pPr>
      <w:r w:rsidRPr="00167083">
        <w:rPr>
          <w:rFonts w:asciiTheme="minorHAnsi" w:hAnsiTheme="minorHAnsi"/>
          <w:color w:val="auto"/>
          <w:sz w:val="22"/>
        </w:rPr>
        <w:t xml:space="preserve">McMullan, John L. 2006.  “News, Truth, and the Recognition of Corporate Crime.”  </w:t>
      </w:r>
      <w:r w:rsidRPr="00167083">
        <w:rPr>
          <w:rFonts w:asciiTheme="minorHAnsi" w:hAnsiTheme="minorHAnsi"/>
          <w:i/>
          <w:color w:val="auto"/>
          <w:sz w:val="22"/>
        </w:rPr>
        <w:t>Canadian Journal of Criminology &amp; Criminal Justice,</w:t>
      </w:r>
      <w:r w:rsidRPr="00167083">
        <w:rPr>
          <w:rFonts w:asciiTheme="minorHAnsi" w:hAnsiTheme="minorHAnsi"/>
          <w:color w:val="auto"/>
          <w:sz w:val="22"/>
        </w:rPr>
        <w:t xml:space="preserve"> Vol. 48 Issue 6, pp. 905-939.</w:t>
      </w:r>
    </w:p>
    <w:p w:rsidR="00A96C62" w:rsidRPr="00167083" w:rsidRDefault="00A96C62"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Scott, James. “Prestige in the Public Discourse of Domination” </w:t>
      </w:r>
    </w:p>
    <w:p w:rsidR="00A96C62" w:rsidRPr="00167083" w:rsidRDefault="00A96C62"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Timmer, Andrea.  “Learning Through Doing: The Importance of Ethnographic Fieldwork.” </w:t>
      </w:r>
      <w:r w:rsidRPr="00167083">
        <w:rPr>
          <w:rFonts w:asciiTheme="minorHAnsi" w:hAnsiTheme="minorHAnsi"/>
          <w:i/>
          <w:color w:val="auto"/>
          <w:sz w:val="22"/>
          <w:szCs w:val="22"/>
        </w:rPr>
        <w:t>NAPA Bulletin</w:t>
      </w:r>
      <w:r w:rsidRPr="00167083">
        <w:rPr>
          <w:rFonts w:asciiTheme="minorHAnsi" w:hAnsiTheme="minorHAnsi"/>
          <w:color w:val="auto"/>
          <w:sz w:val="22"/>
          <w:szCs w:val="22"/>
        </w:rPr>
        <w:t xml:space="preserve"> 22, p. 106-112.</w:t>
      </w:r>
    </w:p>
    <w:p w:rsidR="00A96C62" w:rsidRPr="00167083" w:rsidRDefault="00A96C62"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White, David. 2001. “A History of the Present” in </w:t>
      </w:r>
      <w:r w:rsidRPr="00167083">
        <w:rPr>
          <w:rFonts w:asciiTheme="minorHAnsi" w:hAnsiTheme="minorHAnsi"/>
          <w:i/>
          <w:color w:val="auto"/>
          <w:sz w:val="22"/>
          <w:szCs w:val="22"/>
        </w:rPr>
        <w:t>The Culture of Control: crime and social order in contemporary society</w:t>
      </w:r>
      <w:r w:rsidRPr="00167083">
        <w:rPr>
          <w:rFonts w:asciiTheme="minorHAnsi" w:hAnsiTheme="minorHAnsi"/>
          <w:color w:val="auto"/>
          <w:sz w:val="22"/>
          <w:szCs w:val="22"/>
        </w:rPr>
        <w:t>, pages 1-26.</w:t>
      </w:r>
    </w:p>
    <w:p w:rsidR="00A96C62" w:rsidRPr="00167083" w:rsidRDefault="00A96C62" w:rsidP="00A96C62">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White, David. 2006.  “A Conceptual Analysis of the Hidden Curriculum of Police Training in England and Wales.” </w:t>
      </w:r>
      <w:r w:rsidRPr="00167083">
        <w:rPr>
          <w:rFonts w:asciiTheme="minorHAnsi" w:hAnsiTheme="minorHAnsi"/>
          <w:i/>
          <w:color w:val="auto"/>
          <w:sz w:val="22"/>
          <w:szCs w:val="22"/>
        </w:rPr>
        <w:t>Policing &amp; Society,</w:t>
      </w:r>
      <w:r w:rsidRPr="00167083">
        <w:rPr>
          <w:rFonts w:asciiTheme="minorHAnsi" w:hAnsiTheme="minorHAnsi"/>
          <w:color w:val="auto"/>
          <w:sz w:val="22"/>
          <w:szCs w:val="22"/>
        </w:rPr>
        <w:t xml:space="preserve"> Vol. 16 Issue 4, pp. 386-404.</w:t>
      </w:r>
    </w:p>
    <w:p w:rsidR="00A83696" w:rsidRPr="00167083" w:rsidRDefault="00A96C62" w:rsidP="00254B25">
      <w:pPr>
        <w:pStyle w:val="Default"/>
        <w:spacing w:before="120"/>
        <w:ind w:left="1224" w:hanging="504"/>
        <w:rPr>
          <w:rFonts w:asciiTheme="minorHAnsi" w:hAnsiTheme="minorHAnsi"/>
          <w:color w:val="auto"/>
          <w:sz w:val="22"/>
          <w:szCs w:val="22"/>
        </w:rPr>
      </w:pPr>
      <w:r w:rsidRPr="00167083">
        <w:rPr>
          <w:rFonts w:asciiTheme="minorHAnsi" w:hAnsiTheme="minorHAnsi"/>
          <w:color w:val="auto"/>
          <w:sz w:val="22"/>
          <w:szCs w:val="22"/>
        </w:rPr>
        <w:t xml:space="preserve">Withorn, Ann. 1986.  “For Better or For Worse:  Women Against Women in the Welfare State.”  In R. Lefkowitz &amp; A. Withorn, </w:t>
      </w:r>
      <w:r w:rsidRPr="00167083">
        <w:rPr>
          <w:rFonts w:asciiTheme="minorHAnsi" w:hAnsiTheme="minorHAnsi"/>
          <w:i/>
          <w:color w:val="auto"/>
          <w:sz w:val="22"/>
          <w:szCs w:val="22"/>
        </w:rPr>
        <w:t xml:space="preserve">For Crying Out Loud:  Women’s Poverty in the United States.  </w:t>
      </w:r>
      <w:r w:rsidRPr="00167083">
        <w:rPr>
          <w:rFonts w:asciiTheme="minorHAnsi" w:hAnsiTheme="minorHAnsi"/>
          <w:color w:val="auto"/>
          <w:sz w:val="22"/>
          <w:szCs w:val="22"/>
        </w:rPr>
        <w:t xml:space="preserve">Boston:  South End Press.  </w:t>
      </w:r>
    </w:p>
    <w:p w:rsidR="00167083" w:rsidRDefault="00167083" w:rsidP="002B4164">
      <w:pPr>
        <w:ind w:left="720"/>
        <w:rPr>
          <w:rFonts w:asciiTheme="minorHAnsi" w:hAnsiTheme="minorHAnsi" w:cstheme="minorHAnsi"/>
          <w:sz w:val="22"/>
          <w:szCs w:val="22"/>
        </w:rPr>
      </w:pPr>
    </w:p>
    <w:p w:rsidR="00167083" w:rsidRDefault="00167083" w:rsidP="002B4164">
      <w:pPr>
        <w:ind w:left="720"/>
        <w:rPr>
          <w:rFonts w:asciiTheme="minorHAnsi" w:hAnsiTheme="minorHAnsi" w:cstheme="minorHAnsi"/>
          <w:sz w:val="22"/>
          <w:szCs w:val="22"/>
        </w:rPr>
      </w:pPr>
    </w:p>
    <w:p w:rsidR="00167083" w:rsidRDefault="00167083" w:rsidP="002B4164">
      <w:pPr>
        <w:ind w:left="720"/>
        <w:rPr>
          <w:rFonts w:asciiTheme="minorHAnsi" w:hAnsiTheme="minorHAnsi" w:cstheme="minorHAnsi"/>
          <w:sz w:val="22"/>
          <w:szCs w:val="22"/>
        </w:rPr>
      </w:pPr>
    </w:p>
    <w:p w:rsidR="00167083" w:rsidRDefault="00167083" w:rsidP="002B4164">
      <w:pPr>
        <w:ind w:left="720"/>
        <w:rPr>
          <w:rFonts w:asciiTheme="minorHAnsi" w:hAnsiTheme="minorHAnsi" w:cstheme="minorHAnsi"/>
          <w:sz w:val="22"/>
          <w:szCs w:val="22"/>
        </w:rPr>
      </w:pPr>
    </w:p>
    <w:p w:rsidR="00364D5E" w:rsidRPr="00167083" w:rsidRDefault="00364D5E" w:rsidP="00364D5E">
      <w:pPr>
        <w:pBdr>
          <w:bottom w:val="single" w:sz="4" w:space="1" w:color="auto"/>
        </w:pBdr>
        <w:jc w:val="both"/>
        <w:rPr>
          <w:rFonts w:asciiTheme="minorHAnsi" w:hAnsiTheme="minorHAnsi"/>
          <w:b/>
        </w:rPr>
      </w:pPr>
      <w:r w:rsidRPr="00167083">
        <w:rPr>
          <w:rFonts w:asciiTheme="minorHAnsi" w:hAnsiTheme="minorHAnsi"/>
          <w:b/>
        </w:rPr>
        <w:lastRenderedPageBreak/>
        <w:t>EXAMPLE ASSIGNMENTS</w:t>
      </w:r>
    </w:p>
    <w:p w:rsidR="00BF62A9" w:rsidRPr="00167083" w:rsidRDefault="00BF62A9" w:rsidP="00364D5E">
      <w:pPr>
        <w:rPr>
          <w:rFonts w:asciiTheme="minorHAnsi" w:hAnsiTheme="minorHAnsi" w:cstheme="minorHAnsi"/>
          <w:sz w:val="22"/>
          <w:szCs w:val="22"/>
        </w:rPr>
      </w:pPr>
    </w:p>
    <w:p w:rsidR="00BF62A9" w:rsidRPr="00167083" w:rsidRDefault="00BF62A9" w:rsidP="00167083">
      <w:pPr>
        <w:spacing w:before="120"/>
        <w:ind w:left="1080" w:hanging="720"/>
        <w:rPr>
          <w:rFonts w:asciiTheme="minorHAnsi" w:hAnsiTheme="minorHAnsi"/>
          <w:sz w:val="22"/>
        </w:rPr>
      </w:pPr>
      <w:r w:rsidRPr="00167083">
        <w:rPr>
          <w:rFonts w:asciiTheme="minorHAnsi" w:hAnsiTheme="minorHAnsi" w:cstheme="minorHAnsi"/>
          <w:b/>
          <w:i/>
          <w:sz w:val="22"/>
          <w:szCs w:val="22"/>
        </w:rPr>
        <w:t>Journal:</w:t>
      </w:r>
      <w:r w:rsidRPr="00167083">
        <w:rPr>
          <w:rFonts w:asciiTheme="minorHAnsi" w:hAnsiTheme="minorHAnsi" w:cstheme="minorHAnsi"/>
          <w:b/>
          <w:sz w:val="22"/>
          <w:szCs w:val="22"/>
        </w:rPr>
        <w:t xml:space="preserve">  </w:t>
      </w:r>
      <w:r w:rsidR="00B94F71" w:rsidRPr="00167083">
        <w:rPr>
          <w:rFonts w:asciiTheme="minorHAnsi" w:hAnsiTheme="minorHAnsi"/>
          <w:sz w:val="22"/>
        </w:rPr>
        <w:t xml:space="preserve">Students will keep a regular journal to record their observations, assess the needs and resources of the community, reflect on their experience, provide a critical analysis of issues that arise during their internship by utilizing assigned readings or theoretical insights from their discipline, assess their learning, and identify courses of action that will help them achieve their goals. </w:t>
      </w:r>
    </w:p>
    <w:p w:rsidR="00BF62A9" w:rsidRPr="00167083" w:rsidRDefault="00584CD0" w:rsidP="00BF62A9">
      <w:pPr>
        <w:ind w:left="1080"/>
        <w:rPr>
          <w:rFonts w:asciiTheme="minorHAnsi" w:hAnsiTheme="minorHAnsi"/>
        </w:rPr>
      </w:pPr>
      <w:r w:rsidRPr="00167083">
        <w:rPr>
          <w:rFonts w:asciiTheme="minorHAnsi" w:hAnsiTheme="minorHAnsi"/>
          <w:u w:val="single"/>
        </w:rPr>
        <w:t>Example</w:t>
      </w:r>
      <w:r w:rsidRPr="00167083">
        <w:rPr>
          <w:rFonts w:asciiTheme="minorHAnsi" w:hAnsiTheme="minorHAnsi"/>
        </w:rPr>
        <w:t xml:space="preserve"> </w:t>
      </w:r>
    </w:p>
    <w:p w:rsidR="00B94F71" w:rsidRPr="00167083" w:rsidRDefault="005879AE" w:rsidP="00BF62A9">
      <w:pPr>
        <w:spacing w:before="120"/>
        <w:ind w:left="1080"/>
        <w:rPr>
          <w:rFonts w:asciiTheme="minorHAnsi" w:hAnsiTheme="minorHAnsi"/>
          <w:sz w:val="22"/>
        </w:rPr>
      </w:pPr>
      <w:r w:rsidRPr="00167083">
        <w:rPr>
          <w:rFonts w:asciiTheme="minorHAnsi" w:hAnsiTheme="minorHAnsi"/>
          <w:b/>
        </w:rPr>
        <w:t>Weekly Journal:</w:t>
      </w:r>
      <w:r w:rsidRPr="00167083">
        <w:rPr>
          <w:rFonts w:asciiTheme="minorHAnsi" w:hAnsiTheme="minorHAnsi"/>
        </w:rPr>
        <w:t xml:space="preserve">  </w:t>
      </w:r>
      <w:r w:rsidR="00B94F71" w:rsidRPr="00167083">
        <w:rPr>
          <w:rFonts w:asciiTheme="minorHAnsi" w:hAnsiTheme="minorHAnsi"/>
        </w:rPr>
        <w:t>Please write two to three pages (a</w:t>
      </w:r>
      <w:r w:rsidRPr="00167083">
        <w:rPr>
          <w:rFonts w:asciiTheme="minorHAnsi" w:hAnsiTheme="minorHAnsi"/>
        </w:rPr>
        <w:t xml:space="preserve">bout 500-600 words) that </w:t>
      </w:r>
      <w:r w:rsidR="00B94F71" w:rsidRPr="00167083">
        <w:rPr>
          <w:rFonts w:asciiTheme="minorHAnsi" w:hAnsiTheme="minorHAnsi"/>
        </w:rPr>
        <w:t>address the following elements of your internship experience and learning:</w:t>
      </w:r>
    </w:p>
    <w:p w:rsidR="00B94F71" w:rsidRPr="00167083" w:rsidRDefault="00B94F71" w:rsidP="00BF62A9">
      <w:pPr>
        <w:pStyle w:val="ListParagraph"/>
        <w:numPr>
          <w:ilvl w:val="0"/>
          <w:numId w:val="27"/>
        </w:numPr>
        <w:jc w:val="both"/>
        <w:rPr>
          <w:rFonts w:asciiTheme="minorHAnsi" w:hAnsiTheme="minorHAnsi"/>
          <w:sz w:val="22"/>
        </w:rPr>
      </w:pPr>
      <w:r w:rsidRPr="00167083">
        <w:rPr>
          <w:rFonts w:asciiTheme="minorHAnsi" w:hAnsiTheme="minorHAnsi"/>
          <w:sz w:val="22"/>
        </w:rPr>
        <w:t xml:space="preserve">What did you do this week?  Please provide </w:t>
      </w:r>
      <w:r w:rsidRPr="00167083">
        <w:rPr>
          <w:rFonts w:asciiTheme="minorHAnsi" w:hAnsiTheme="minorHAnsi"/>
          <w:i/>
          <w:sz w:val="22"/>
        </w:rPr>
        <w:t>detail</w:t>
      </w:r>
      <w:r w:rsidRPr="00167083">
        <w:rPr>
          <w:rFonts w:asciiTheme="minorHAnsi" w:hAnsiTheme="minorHAnsi"/>
          <w:sz w:val="22"/>
        </w:rPr>
        <w:t xml:space="preserve"> and </w:t>
      </w:r>
      <w:r w:rsidRPr="00167083">
        <w:rPr>
          <w:rFonts w:asciiTheme="minorHAnsi" w:hAnsiTheme="minorHAnsi"/>
          <w:i/>
          <w:sz w:val="22"/>
        </w:rPr>
        <w:t>substance</w:t>
      </w:r>
      <w:r w:rsidRPr="00167083">
        <w:rPr>
          <w:rFonts w:asciiTheme="minorHAnsi" w:hAnsiTheme="minorHAnsi"/>
          <w:sz w:val="22"/>
        </w:rPr>
        <w:t>, working from your field notes.</w:t>
      </w:r>
    </w:p>
    <w:p w:rsidR="00B94F71" w:rsidRPr="00167083" w:rsidRDefault="00B94F71" w:rsidP="00BF62A9">
      <w:pPr>
        <w:pStyle w:val="ListParagraph"/>
        <w:numPr>
          <w:ilvl w:val="0"/>
          <w:numId w:val="27"/>
        </w:numPr>
        <w:jc w:val="both"/>
        <w:rPr>
          <w:rFonts w:asciiTheme="minorHAnsi" w:hAnsiTheme="minorHAnsi"/>
          <w:sz w:val="22"/>
        </w:rPr>
      </w:pPr>
      <w:r w:rsidRPr="00167083">
        <w:rPr>
          <w:rFonts w:asciiTheme="minorHAnsi" w:hAnsiTheme="minorHAnsi"/>
          <w:sz w:val="22"/>
        </w:rPr>
        <w:t>What did you learn from this work about yourself, your site, your c</w:t>
      </w:r>
      <w:r w:rsidR="0007517D" w:rsidRPr="00167083">
        <w:rPr>
          <w:rFonts w:asciiTheme="minorHAnsi" w:hAnsiTheme="minorHAnsi"/>
          <w:sz w:val="22"/>
        </w:rPr>
        <w:t>lients and the larger community</w:t>
      </w:r>
      <w:r w:rsidRPr="00167083">
        <w:rPr>
          <w:rFonts w:asciiTheme="minorHAnsi" w:hAnsiTheme="minorHAnsi"/>
          <w:sz w:val="22"/>
        </w:rPr>
        <w:t>?</w:t>
      </w:r>
    </w:p>
    <w:p w:rsidR="00B94F71" w:rsidRPr="00167083" w:rsidRDefault="00B94F71" w:rsidP="00BF62A9">
      <w:pPr>
        <w:pStyle w:val="ListParagraph"/>
        <w:numPr>
          <w:ilvl w:val="0"/>
          <w:numId w:val="27"/>
        </w:numPr>
        <w:jc w:val="both"/>
        <w:rPr>
          <w:rFonts w:asciiTheme="minorHAnsi" w:hAnsiTheme="minorHAnsi"/>
          <w:sz w:val="22"/>
        </w:rPr>
      </w:pPr>
      <w:r w:rsidRPr="00167083">
        <w:rPr>
          <w:rFonts w:asciiTheme="minorHAnsi" w:hAnsiTheme="minorHAnsi"/>
          <w:sz w:val="22"/>
        </w:rPr>
        <w:t xml:space="preserve">Discuss how your work this week relates </w:t>
      </w:r>
      <w:r w:rsidR="0007517D" w:rsidRPr="00167083">
        <w:rPr>
          <w:rFonts w:asciiTheme="minorHAnsi" w:hAnsiTheme="minorHAnsi"/>
          <w:sz w:val="22"/>
        </w:rPr>
        <w:t>to particular knowledge or skills you acquired through your coursework</w:t>
      </w:r>
      <w:r w:rsidRPr="00167083">
        <w:rPr>
          <w:rFonts w:asciiTheme="minorHAnsi" w:hAnsiTheme="minorHAnsi"/>
          <w:sz w:val="22"/>
        </w:rPr>
        <w:t xml:space="preserve">.  </w:t>
      </w:r>
    </w:p>
    <w:p w:rsidR="00B94F71" w:rsidRPr="00167083" w:rsidRDefault="00B94F71" w:rsidP="00BF62A9">
      <w:pPr>
        <w:pStyle w:val="ListParagraph"/>
        <w:numPr>
          <w:ilvl w:val="0"/>
          <w:numId w:val="27"/>
        </w:numPr>
        <w:jc w:val="both"/>
        <w:rPr>
          <w:rFonts w:asciiTheme="minorHAnsi" w:hAnsiTheme="minorHAnsi"/>
          <w:sz w:val="22"/>
        </w:rPr>
      </w:pPr>
      <w:r w:rsidRPr="00167083">
        <w:rPr>
          <w:rFonts w:asciiTheme="minorHAnsi" w:hAnsiTheme="minorHAnsi"/>
          <w:sz w:val="22"/>
        </w:rPr>
        <w:t>Explore the meanings of your experience, and how you can use this experience as you add to your portfolio o</w:t>
      </w:r>
      <w:r w:rsidR="0007517D" w:rsidRPr="00167083">
        <w:rPr>
          <w:rFonts w:asciiTheme="minorHAnsi" w:hAnsiTheme="minorHAnsi"/>
          <w:sz w:val="22"/>
        </w:rPr>
        <w:t>f work skills and other knowledge, including the needs and resources of the community</w:t>
      </w:r>
      <w:r w:rsidRPr="00167083">
        <w:rPr>
          <w:rFonts w:asciiTheme="minorHAnsi" w:hAnsiTheme="minorHAnsi"/>
          <w:sz w:val="22"/>
        </w:rPr>
        <w:t>.</w:t>
      </w:r>
    </w:p>
    <w:p w:rsidR="00D03685" w:rsidRPr="00167083" w:rsidRDefault="00D03685" w:rsidP="002B4164">
      <w:pPr>
        <w:ind w:left="720"/>
        <w:rPr>
          <w:rFonts w:asciiTheme="minorHAnsi" w:hAnsiTheme="minorHAnsi" w:cstheme="minorHAnsi"/>
          <w:sz w:val="22"/>
          <w:szCs w:val="22"/>
        </w:rPr>
      </w:pPr>
    </w:p>
    <w:p w:rsidR="00BF62A9" w:rsidRPr="00167083" w:rsidRDefault="002E3D6E" w:rsidP="00B0738F">
      <w:pPr>
        <w:ind w:left="1080"/>
        <w:rPr>
          <w:rFonts w:asciiTheme="minorHAnsi" w:hAnsiTheme="minorHAnsi"/>
        </w:rPr>
      </w:pPr>
      <w:r w:rsidRPr="00167083">
        <w:rPr>
          <w:rFonts w:asciiTheme="minorHAnsi" w:hAnsiTheme="minorHAnsi"/>
          <w:u w:val="single"/>
        </w:rPr>
        <w:t>University Studies Learning Outcomes</w:t>
      </w:r>
      <w:r w:rsidR="00D03685" w:rsidRPr="00167083">
        <w:rPr>
          <w:rFonts w:asciiTheme="minorHAnsi" w:hAnsiTheme="minorHAnsi"/>
        </w:rPr>
        <w:t xml:space="preserve"> </w:t>
      </w:r>
    </w:p>
    <w:p w:rsidR="00D03685" w:rsidRPr="00167083" w:rsidRDefault="00D03685" w:rsidP="00D03685">
      <w:pPr>
        <w:pStyle w:val="NormalWeb"/>
        <w:numPr>
          <w:ilvl w:val="0"/>
          <w:numId w:val="29"/>
        </w:numPr>
        <w:spacing w:before="12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Identify the needs and resources of the communities to which they belong.</w:t>
      </w:r>
    </w:p>
    <w:p w:rsidR="00D03685" w:rsidRPr="00167083" w:rsidRDefault="00D03685" w:rsidP="00D03685">
      <w:pPr>
        <w:pStyle w:val="NormalWeb"/>
        <w:numPr>
          <w:ilvl w:val="0"/>
          <w:numId w:val="29"/>
        </w:numPr>
        <w:spacing w:before="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Apply knowledge and skills gained through academic study to real problems and/or opportunities within their communities.</w:t>
      </w:r>
    </w:p>
    <w:p w:rsidR="00380A44" w:rsidRPr="00167083" w:rsidRDefault="00D03685" w:rsidP="00380A44">
      <w:pPr>
        <w:pStyle w:val="NormalWeb"/>
        <w:numPr>
          <w:ilvl w:val="0"/>
          <w:numId w:val="29"/>
        </w:numPr>
        <w:spacing w:before="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Describe the connections between learning on campus and the issues and needs of broader academic, professional or civic communities.</w:t>
      </w:r>
    </w:p>
    <w:p w:rsidR="005879AE" w:rsidRPr="00167083" w:rsidRDefault="00B0738F" w:rsidP="00380A44">
      <w:pPr>
        <w:spacing w:before="240"/>
        <w:ind w:left="1080" w:hanging="720"/>
        <w:rPr>
          <w:rFonts w:asciiTheme="minorHAnsi" w:hAnsiTheme="minorHAnsi"/>
          <w:sz w:val="22"/>
        </w:rPr>
      </w:pPr>
      <w:r w:rsidRPr="00167083">
        <w:rPr>
          <w:rFonts w:asciiTheme="minorHAnsi" w:hAnsiTheme="minorHAnsi"/>
          <w:b/>
          <w:i/>
        </w:rPr>
        <w:t xml:space="preserve">Final </w:t>
      </w:r>
      <w:r w:rsidR="0007517D" w:rsidRPr="00167083">
        <w:rPr>
          <w:rFonts w:asciiTheme="minorHAnsi" w:hAnsiTheme="minorHAnsi"/>
          <w:b/>
          <w:i/>
        </w:rPr>
        <w:t>Paper/Report/Project</w:t>
      </w:r>
      <w:r w:rsidR="0007517D" w:rsidRPr="00167083">
        <w:rPr>
          <w:rFonts w:asciiTheme="minorHAnsi" w:hAnsiTheme="minorHAnsi"/>
          <w:b/>
          <w:i/>
          <w:sz w:val="22"/>
        </w:rPr>
        <w:t xml:space="preserve">:  </w:t>
      </w:r>
      <w:r w:rsidR="0007517D" w:rsidRPr="00167083">
        <w:rPr>
          <w:rFonts w:asciiTheme="minorHAnsi" w:hAnsiTheme="minorHAnsi"/>
          <w:sz w:val="22"/>
        </w:rPr>
        <w:t xml:space="preserve">All students taking the </w:t>
      </w:r>
      <w:r w:rsidR="0007517D" w:rsidRPr="00167083">
        <w:rPr>
          <w:rFonts w:asciiTheme="minorHAnsi" w:hAnsiTheme="minorHAnsi"/>
          <w:i/>
          <w:sz w:val="22"/>
        </w:rPr>
        <w:t>Internship</w:t>
      </w:r>
      <w:r w:rsidR="0007517D" w:rsidRPr="00167083">
        <w:rPr>
          <w:rFonts w:asciiTheme="minorHAnsi" w:hAnsiTheme="minorHAnsi"/>
          <w:sz w:val="22"/>
        </w:rPr>
        <w:t xml:space="preserve"> course will complete a final paper, report or pr</w:t>
      </w:r>
      <w:r w:rsidR="00380A44" w:rsidRPr="00167083">
        <w:rPr>
          <w:rFonts w:asciiTheme="minorHAnsi" w:hAnsiTheme="minorHAnsi"/>
          <w:sz w:val="22"/>
        </w:rPr>
        <w:t xml:space="preserve">oject (e.g. poster) </w:t>
      </w:r>
      <w:r w:rsidR="00BE7CB6" w:rsidRPr="00167083">
        <w:rPr>
          <w:rFonts w:asciiTheme="minorHAnsi" w:hAnsiTheme="minorHAnsi"/>
          <w:sz w:val="22"/>
        </w:rPr>
        <w:t>that describes their experience</w:t>
      </w:r>
      <w:r w:rsidR="005879AE" w:rsidRPr="00167083">
        <w:rPr>
          <w:rFonts w:asciiTheme="minorHAnsi" w:hAnsiTheme="minorHAnsi"/>
          <w:sz w:val="22"/>
        </w:rPr>
        <w:t>, analyzes it in light of their academic</w:t>
      </w:r>
      <w:r w:rsidR="00BE7CB6" w:rsidRPr="00167083">
        <w:rPr>
          <w:rFonts w:asciiTheme="minorHAnsi" w:hAnsiTheme="minorHAnsi"/>
          <w:sz w:val="22"/>
        </w:rPr>
        <w:t xml:space="preserve"> learning</w:t>
      </w:r>
      <w:r w:rsidR="005879AE" w:rsidRPr="00167083">
        <w:rPr>
          <w:rFonts w:asciiTheme="minorHAnsi" w:hAnsiTheme="minorHAnsi"/>
          <w:sz w:val="22"/>
        </w:rPr>
        <w:t xml:space="preserve">, and examines and examines the value of engagement in attaining academic, professional, personal and civic goals. </w:t>
      </w:r>
    </w:p>
    <w:p w:rsidR="005879AE" w:rsidRPr="00167083" w:rsidRDefault="005879AE" w:rsidP="002E3D6E">
      <w:pPr>
        <w:spacing w:before="240"/>
        <w:ind w:left="1800" w:hanging="720"/>
        <w:rPr>
          <w:rFonts w:asciiTheme="minorHAnsi" w:hAnsiTheme="minorHAnsi"/>
          <w:sz w:val="22"/>
          <w:u w:val="single"/>
        </w:rPr>
      </w:pPr>
      <w:r w:rsidRPr="00167083">
        <w:rPr>
          <w:rFonts w:asciiTheme="minorHAnsi" w:hAnsiTheme="minorHAnsi"/>
          <w:sz w:val="22"/>
          <w:u w:val="single"/>
        </w:rPr>
        <w:t>Example</w:t>
      </w:r>
    </w:p>
    <w:p w:rsidR="0007517D" w:rsidRPr="00167083" w:rsidRDefault="005879AE" w:rsidP="002E3D6E">
      <w:pPr>
        <w:spacing w:before="120"/>
        <w:ind w:left="1800" w:hanging="720"/>
        <w:rPr>
          <w:rFonts w:asciiTheme="minorHAnsi" w:hAnsiTheme="minorHAnsi"/>
          <w:sz w:val="22"/>
          <w:u w:val="single"/>
        </w:rPr>
      </w:pPr>
      <w:r w:rsidRPr="00167083">
        <w:rPr>
          <w:rFonts w:asciiTheme="minorHAnsi" w:hAnsiTheme="minorHAnsi"/>
          <w:b/>
        </w:rPr>
        <w:t>Exit Paper</w:t>
      </w:r>
      <w:r w:rsidRPr="00167083">
        <w:rPr>
          <w:rFonts w:asciiTheme="minorHAnsi" w:hAnsiTheme="minorHAnsi"/>
          <w:sz w:val="22"/>
        </w:rPr>
        <w:t xml:space="preserve">: </w:t>
      </w:r>
      <w:r w:rsidR="00605DF3" w:rsidRPr="00167083">
        <w:rPr>
          <w:rFonts w:asciiTheme="minorHAnsi" w:hAnsiTheme="minorHAnsi"/>
          <w:sz w:val="22"/>
        </w:rPr>
        <w:t xml:space="preserve">Please write a 10-page paper that describes, analyzes and assesses your internship.  Your paper should include the following elements:  </w:t>
      </w:r>
    </w:p>
    <w:p w:rsidR="0007517D" w:rsidRPr="00167083" w:rsidRDefault="0007517D" w:rsidP="0007517D">
      <w:pPr>
        <w:pStyle w:val="ListParagraph"/>
        <w:numPr>
          <w:ilvl w:val="0"/>
          <w:numId w:val="31"/>
        </w:numPr>
        <w:rPr>
          <w:rFonts w:asciiTheme="minorHAnsi" w:hAnsiTheme="minorHAnsi"/>
          <w:sz w:val="22"/>
        </w:rPr>
      </w:pPr>
      <w:r w:rsidRPr="00167083">
        <w:rPr>
          <w:rFonts w:asciiTheme="minorHAnsi" w:hAnsiTheme="minorHAnsi"/>
          <w:sz w:val="22"/>
        </w:rPr>
        <w:t>A description and assessment of the inter</w:t>
      </w:r>
      <w:r w:rsidR="00605DF3" w:rsidRPr="00167083">
        <w:rPr>
          <w:rFonts w:asciiTheme="minorHAnsi" w:hAnsiTheme="minorHAnsi"/>
          <w:sz w:val="22"/>
        </w:rPr>
        <w:t>nship site, including its mission, services and organizational structure.</w:t>
      </w:r>
    </w:p>
    <w:p w:rsidR="0007517D" w:rsidRPr="00167083" w:rsidRDefault="00154221" w:rsidP="0007517D">
      <w:pPr>
        <w:pStyle w:val="ListParagraph"/>
        <w:numPr>
          <w:ilvl w:val="0"/>
          <w:numId w:val="31"/>
        </w:numPr>
        <w:rPr>
          <w:rFonts w:asciiTheme="minorHAnsi" w:hAnsiTheme="minorHAnsi"/>
          <w:sz w:val="22"/>
        </w:rPr>
      </w:pPr>
      <w:r w:rsidRPr="00167083">
        <w:rPr>
          <w:rFonts w:asciiTheme="minorHAnsi" w:hAnsiTheme="minorHAnsi"/>
          <w:sz w:val="22"/>
        </w:rPr>
        <w:t>A description of your</w:t>
      </w:r>
      <w:r w:rsidR="0007517D" w:rsidRPr="00167083">
        <w:rPr>
          <w:rFonts w:asciiTheme="minorHAnsi" w:hAnsiTheme="minorHAnsi"/>
          <w:sz w:val="22"/>
        </w:rPr>
        <w:t xml:space="preserve"> internship</w:t>
      </w:r>
      <w:r w:rsidR="005879AE" w:rsidRPr="00167083">
        <w:rPr>
          <w:rFonts w:asciiTheme="minorHAnsi" w:hAnsiTheme="minorHAnsi"/>
          <w:sz w:val="22"/>
        </w:rPr>
        <w:t xml:space="preserve"> experience, including</w:t>
      </w:r>
      <w:r w:rsidR="00605DF3" w:rsidRPr="00167083">
        <w:rPr>
          <w:rFonts w:asciiTheme="minorHAnsi" w:hAnsiTheme="minorHAnsi"/>
          <w:sz w:val="22"/>
        </w:rPr>
        <w:t xml:space="preserve"> the work you performed and</w:t>
      </w:r>
      <w:r w:rsidR="005879AE" w:rsidRPr="00167083">
        <w:rPr>
          <w:rFonts w:asciiTheme="minorHAnsi" w:hAnsiTheme="minorHAnsi"/>
          <w:sz w:val="22"/>
        </w:rPr>
        <w:t xml:space="preserve"> what you</w:t>
      </w:r>
      <w:r w:rsidR="0007517D" w:rsidRPr="00167083">
        <w:rPr>
          <w:rFonts w:asciiTheme="minorHAnsi" w:hAnsiTheme="minorHAnsi"/>
          <w:sz w:val="22"/>
        </w:rPr>
        <w:t xml:space="preserve"> learned about the needs and resources of the broader community.</w:t>
      </w:r>
    </w:p>
    <w:p w:rsidR="00380A44" w:rsidRPr="00167083" w:rsidRDefault="0007517D" w:rsidP="0007517D">
      <w:pPr>
        <w:pStyle w:val="ListParagraph"/>
        <w:numPr>
          <w:ilvl w:val="0"/>
          <w:numId w:val="31"/>
        </w:numPr>
        <w:rPr>
          <w:rFonts w:asciiTheme="minorHAnsi" w:hAnsiTheme="minorHAnsi"/>
          <w:sz w:val="22"/>
        </w:rPr>
      </w:pPr>
      <w:r w:rsidRPr="00167083">
        <w:rPr>
          <w:rFonts w:asciiTheme="minorHAnsi" w:hAnsiTheme="minorHAnsi"/>
          <w:sz w:val="22"/>
        </w:rPr>
        <w:t xml:space="preserve">A discussion of </w:t>
      </w:r>
      <w:r w:rsidR="00154221" w:rsidRPr="00167083">
        <w:rPr>
          <w:rFonts w:asciiTheme="minorHAnsi" w:hAnsiTheme="minorHAnsi"/>
          <w:sz w:val="22"/>
        </w:rPr>
        <w:t xml:space="preserve">how your </w:t>
      </w:r>
      <w:r w:rsidRPr="00167083">
        <w:rPr>
          <w:rFonts w:asciiTheme="minorHAnsi" w:hAnsiTheme="minorHAnsi"/>
          <w:sz w:val="22"/>
        </w:rPr>
        <w:t>education in sociology/anthropology/CJS, including</w:t>
      </w:r>
      <w:r w:rsidR="002E3D6E" w:rsidRPr="00167083">
        <w:rPr>
          <w:rFonts w:asciiTheme="minorHAnsi" w:hAnsiTheme="minorHAnsi"/>
          <w:sz w:val="22"/>
        </w:rPr>
        <w:t xml:space="preserve"> the insights from</w:t>
      </w:r>
      <w:r w:rsidRPr="00167083">
        <w:rPr>
          <w:rFonts w:asciiTheme="minorHAnsi" w:hAnsiTheme="minorHAnsi"/>
          <w:sz w:val="22"/>
        </w:rPr>
        <w:t xml:space="preserve"> particular theories/perspectives/rea</w:t>
      </w:r>
      <w:r w:rsidR="00154221" w:rsidRPr="00167083">
        <w:rPr>
          <w:rFonts w:asciiTheme="minorHAnsi" w:hAnsiTheme="minorHAnsi"/>
          <w:sz w:val="22"/>
        </w:rPr>
        <w:t xml:space="preserve">dings and </w:t>
      </w:r>
      <w:r w:rsidR="002E3D6E" w:rsidRPr="00167083">
        <w:rPr>
          <w:rFonts w:asciiTheme="minorHAnsi" w:hAnsiTheme="minorHAnsi"/>
          <w:sz w:val="22"/>
        </w:rPr>
        <w:t xml:space="preserve">the </w:t>
      </w:r>
      <w:r w:rsidR="00154221" w:rsidRPr="00167083">
        <w:rPr>
          <w:rFonts w:asciiTheme="minorHAnsi" w:hAnsiTheme="minorHAnsi"/>
          <w:sz w:val="22"/>
        </w:rPr>
        <w:t>skills you acquired through your coursework, helped you carry out, analyze and understand the work you did at your internship site</w:t>
      </w:r>
      <w:r w:rsidRPr="00167083">
        <w:rPr>
          <w:rFonts w:asciiTheme="minorHAnsi" w:hAnsiTheme="minorHAnsi"/>
          <w:sz w:val="22"/>
        </w:rPr>
        <w:t>.</w:t>
      </w:r>
    </w:p>
    <w:p w:rsidR="00154221" w:rsidRPr="00167083" w:rsidRDefault="00380A44" w:rsidP="00154221">
      <w:pPr>
        <w:pStyle w:val="ListParagraph"/>
        <w:numPr>
          <w:ilvl w:val="0"/>
          <w:numId w:val="31"/>
        </w:numPr>
        <w:rPr>
          <w:rFonts w:asciiTheme="minorHAnsi" w:hAnsiTheme="minorHAnsi"/>
          <w:sz w:val="22"/>
        </w:rPr>
      </w:pPr>
      <w:r w:rsidRPr="00167083">
        <w:rPr>
          <w:rFonts w:asciiTheme="minorHAnsi" w:hAnsiTheme="minorHAnsi"/>
          <w:sz w:val="22"/>
        </w:rPr>
        <w:t>A discu</w:t>
      </w:r>
      <w:r w:rsidR="00154221" w:rsidRPr="00167083">
        <w:rPr>
          <w:rFonts w:asciiTheme="minorHAnsi" w:hAnsiTheme="minorHAnsi"/>
          <w:sz w:val="22"/>
        </w:rPr>
        <w:t>ssion of how this internship helped you achieve your</w:t>
      </w:r>
      <w:r w:rsidRPr="00167083">
        <w:rPr>
          <w:rFonts w:asciiTheme="minorHAnsi" w:hAnsiTheme="minorHAnsi"/>
          <w:sz w:val="22"/>
        </w:rPr>
        <w:t xml:space="preserve"> academic,</w:t>
      </w:r>
      <w:r w:rsidR="002E3D6E" w:rsidRPr="00167083">
        <w:rPr>
          <w:rFonts w:asciiTheme="minorHAnsi" w:hAnsiTheme="minorHAnsi"/>
          <w:sz w:val="22"/>
        </w:rPr>
        <w:t xml:space="preserve"> professional,</w:t>
      </w:r>
      <w:r w:rsidRPr="00167083">
        <w:rPr>
          <w:rFonts w:asciiTheme="minorHAnsi" w:hAnsiTheme="minorHAnsi"/>
          <w:sz w:val="22"/>
        </w:rPr>
        <w:t xml:space="preserve"> personal and civic goals</w:t>
      </w:r>
      <w:r w:rsidR="00154221" w:rsidRPr="00167083">
        <w:rPr>
          <w:rFonts w:asciiTheme="minorHAnsi" w:hAnsiTheme="minorHAnsi"/>
          <w:sz w:val="22"/>
        </w:rPr>
        <w:t>.</w:t>
      </w:r>
    </w:p>
    <w:p w:rsidR="00BF62A9" w:rsidRPr="00167083" w:rsidRDefault="00154221" w:rsidP="002E3D6E">
      <w:pPr>
        <w:pStyle w:val="ListParagraph"/>
        <w:numPr>
          <w:ilvl w:val="0"/>
          <w:numId w:val="31"/>
        </w:numPr>
        <w:rPr>
          <w:rFonts w:asciiTheme="minorHAnsi" w:hAnsiTheme="minorHAnsi"/>
          <w:sz w:val="22"/>
        </w:rPr>
      </w:pPr>
      <w:r w:rsidRPr="00167083">
        <w:rPr>
          <w:rFonts w:asciiTheme="minorHAnsi" w:hAnsiTheme="minorHAnsi"/>
          <w:sz w:val="22"/>
        </w:rPr>
        <w:t>A discussion of whether or not you met your</w:t>
      </w:r>
      <w:r w:rsidR="00380A44" w:rsidRPr="00167083">
        <w:rPr>
          <w:rFonts w:asciiTheme="minorHAnsi" w:hAnsiTheme="minorHAnsi"/>
          <w:sz w:val="22"/>
        </w:rPr>
        <w:t xml:space="preserve"> initial goals and expectations, </w:t>
      </w:r>
      <w:r w:rsidR="002E3D6E" w:rsidRPr="00167083">
        <w:rPr>
          <w:rFonts w:asciiTheme="minorHAnsi" w:hAnsiTheme="minorHAnsi"/>
          <w:sz w:val="22"/>
        </w:rPr>
        <w:t xml:space="preserve">of </w:t>
      </w:r>
      <w:r w:rsidR="00380A44" w:rsidRPr="00167083">
        <w:rPr>
          <w:rFonts w:asciiTheme="minorHAnsi" w:hAnsiTheme="minorHAnsi"/>
          <w:sz w:val="22"/>
        </w:rPr>
        <w:t xml:space="preserve">what </w:t>
      </w:r>
      <w:r w:rsidR="0007517D" w:rsidRPr="00167083">
        <w:rPr>
          <w:rFonts w:asciiTheme="minorHAnsi" w:hAnsiTheme="minorHAnsi"/>
          <w:sz w:val="22"/>
        </w:rPr>
        <w:t xml:space="preserve">could have </w:t>
      </w:r>
      <w:r w:rsidR="00380A44" w:rsidRPr="00167083">
        <w:rPr>
          <w:rFonts w:asciiTheme="minorHAnsi" w:hAnsiTheme="minorHAnsi"/>
          <w:sz w:val="22"/>
        </w:rPr>
        <w:t xml:space="preserve">been </w:t>
      </w:r>
      <w:r w:rsidR="0007517D" w:rsidRPr="00167083">
        <w:rPr>
          <w:rFonts w:asciiTheme="minorHAnsi" w:hAnsiTheme="minorHAnsi"/>
          <w:sz w:val="22"/>
        </w:rPr>
        <w:t xml:space="preserve">done to make the experience more effective, and whether this particular site should </w:t>
      </w:r>
      <w:r w:rsidR="00380A44" w:rsidRPr="00167083">
        <w:rPr>
          <w:rFonts w:asciiTheme="minorHAnsi" w:hAnsiTheme="minorHAnsi"/>
          <w:sz w:val="22"/>
        </w:rPr>
        <w:t xml:space="preserve">be </w:t>
      </w:r>
      <w:r w:rsidR="0007517D" w:rsidRPr="00167083">
        <w:rPr>
          <w:rFonts w:asciiTheme="minorHAnsi" w:hAnsiTheme="minorHAnsi"/>
          <w:sz w:val="22"/>
        </w:rPr>
        <w:t>recommend</w:t>
      </w:r>
      <w:r w:rsidR="00380A44" w:rsidRPr="00167083">
        <w:rPr>
          <w:rFonts w:asciiTheme="minorHAnsi" w:hAnsiTheme="minorHAnsi"/>
          <w:sz w:val="22"/>
        </w:rPr>
        <w:t>ed</w:t>
      </w:r>
      <w:r w:rsidR="0007517D" w:rsidRPr="00167083">
        <w:rPr>
          <w:rFonts w:asciiTheme="minorHAnsi" w:hAnsiTheme="minorHAnsi"/>
          <w:sz w:val="22"/>
        </w:rPr>
        <w:t xml:space="preserve"> for future students.</w:t>
      </w:r>
    </w:p>
    <w:p w:rsidR="002E3D6E" w:rsidRPr="00167083" w:rsidRDefault="002E3D6E" w:rsidP="002E3D6E">
      <w:pPr>
        <w:spacing w:before="240"/>
        <w:ind w:left="1080"/>
        <w:rPr>
          <w:rFonts w:asciiTheme="minorHAnsi" w:hAnsiTheme="minorHAnsi"/>
          <w:sz w:val="22"/>
          <w:u w:val="single"/>
        </w:rPr>
      </w:pPr>
      <w:r w:rsidRPr="00167083">
        <w:rPr>
          <w:rFonts w:asciiTheme="minorHAnsi" w:hAnsiTheme="minorHAnsi"/>
          <w:sz w:val="22"/>
          <w:u w:val="single"/>
        </w:rPr>
        <w:lastRenderedPageBreak/>
        <w:t xml:space="preserve">University Studies Learning Outcomes </w:t>
      </w:r>
    </w:p>
    <w:p w:rsidR="002E3D6E" w:rsidRPr="00167083" w:rsidRDefault="002E3D6E" w:rsidP="002E3D6E">
      <w:pPr>
        <w:pStyle w:val="NormalWeb"/>
        <w:numPr>
          <w:ilvl w:val="0"/>
          <w:numId w:val="33"/>
        </w:numPr>
        <w:spacing w:before="12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Identify the needs and resources of the communities to which they belong.</w:t>
      </w:r>
    </w:p>
    <w:p w:rsidR="002E3D6E" w:rsidRPr="00167083" w:rsidRDefault="002E3D6E" w:rsidP="002E3D6E">
      <w:pPr>
        <w:pStyle w:val="NormalWeb"/>
        <w:numPr>
          <w:ilvl w:val="0"/>
          <w:numId w:val="33"/>
        </w:numPr>
        <w:spacing w:before="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Apply knowledge and skills gained through academic study to real problems and/or opportunities within their communities.</w:t>
      </w:r>
    </w:p>
    <w:p w:rsidR="002E3D6E" w:rsidRPr="00167083" w:rsidRDefault="002E3D6E" w:rsidP="002E3D6E">
      <w:pPr>
        <w:pStyle w:val="NormalWeb"/>
        <w:numPr>
          <w:ilvl w:val="0"/>
          <w:numId w:val="33"/>
        </w:numPr>
        <w:spacing w:before="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Describe the connections between learning on campus and the issues and needs of broader academic, professional or civic communities.</w:t>
      </w:r>
    </w:p>
    <w:p w:rsidR="00521170" w:rsidRPr="00167083" w:rsidRDefault="002E3D6E" w:rsidP="002E3D6E">
      <w:pPr>
        <w:pStyle w:val="NormalWeb"/>
        <w:numPr>
          <w:ilvl w:val="0"/>
          <w:numId w:val="33"/>
        </w:numPr>
        <w:spacing w:before="0" w:beforeAutospacing="0" w:after="0" w:afterAutospacing="0"/>
        <w:rPr>
          <w:rFonts w:asciiTheme="minorHAnsi" w:hAnsiTheme="minorHAnsi" w:cstheme="minorHAnsi"/>
          <w:color w:val="333333"/>
          <w:sz w:val="22"/>
          <w:szCs w:val="22"/>
        </w:rPr>
      </w:pPr>
      <w:r w:rsidRPr="00167083">
        <w:rPr>
          <w:rFonts w:asciiTheme="minorHAnsi" w:hAnsiTheme="minorHAnsi" w:cstheme="minorHAnsi"/>
          <w:color w:val="333333"/>
          <w:sz w:val="22"/>
          <w:szCs w:val="22"/>
        </w:rPr>
        <w:t>Articulate the value of engagement to other members of their communities.</w:t>
      </w:r>
    </w:p>
    <w:p w:rsidR="00167083" w:rsidRDefault="00167083" w:rsidP="00521170">
      <w:pPr>
        <w:pStyle w:val="NormalWeb"/>
        <w:spacing w:before="0" w:beforeAutospacing="0" w:after="0" w:afterAutospacing="0"/>
        <w:rPr>
          <w:rFonts w:asciiTheme="minorHAnsi" w:hAnsiTheme="minorHAnsi" w:cstheme="minorHAnsi"/>
          <w:color w:val="333333"/>
          <w:sz w:val="22"/>
          <w:szCs w:val="22"/>
        </w:rPr>
      </w:pPr>
    </w:p>
    <w:p w:rsidR="00521170" w:rsidRPr="00167083" w:rsidRDefault="00521170" w:rsidP="00521170">
      <w:pPr>
        <w:pStyle w:val="NormalWeb"/>
        <w:spacing w:before="0" w:beforeAutospacing="0" w:after="0" w:afterAutospacing="0"/>
        <w:rPr>
          <w:rFonts w:asciiTheme="minorHAnsi" w:hAnsiTheme="minorHAnsi" w:cstheme="minorHAnsi"/>
          <w:color w:val="333333"/>
          <w:sz w:val="22"/>
          <w:szCs w:val="22"/>
        </w:rPr>
      </w:pPr>
    </w:p>
    <w:p w:rsidR="00BF62A9" w:rsidRPr="00167083" w:rsidRDefault="00BF62A9" w:rsidP="00BF62A9">
      <w:pPr>
        <w:pBdr>
          <w:bottom w:val="single" w:sz="4" w:space="1" w:color="auto"/>
        </w:pBdr>
        <w:jc w:val="both"/>
        <w:rPr>
          <w:rFonts w:asciiTheme="minorHAnsi" w:hAnsiTheme="minorHAnsi"/>
          <w:b/>
        </w:rPr>
      </w:pPr>
      <w:r w:rsidRPr="00167083">
        <w:rPr>
          <w:rFonts w:asciiTheme="minorHAnsi" w:hAnsiTheme="minorHAnsi"/>
          <w:b/>
        </w:rPr>
        <w:t>EXAMPLE OF COURSE SCHEDULE</w:t>
      </w:r>
    </w:p>
    <w:p w:rsidR="00BF62A9" w:rsidRPr="00167083" w:rsidRDefault="00BF62A9" w:rsidP="00BF62A9">
      <w:pPr>
        <w:rPr>
          <w:rFonts w:asciiTheme="minorHAnsi" w:hAnsiTheme="minorHAnsi" w:cstheme="minorHAnsi"/>
          <w:sz w:val="22"/>
          <w:szCs w:val="22"/>
        </w:rPr>
      </w:pPr>
    </w:p>
    <w:p w:rsidR="00872711" w:rsidRPr="00167083" w:rsidRDefault="00872711" w:rsidP="002B4164">
      <w:pPr>
        <w:rPr>
          <w:rFonts w:asciiTheme="minorHAnsi" w:hAnsiTheme="minorHAnsi" w:cs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7041"/>
        <w:gridCol w:w="1390"/>
      </w:tblGrid>
      <w:tr w:rsidR="00521170" w:rsidRPr="00167083">
        <w:trPr>
          <w:trHeight w:val="180"/>
        </w:trPr>
        <w:tc>
          <w:tcPr>
            <w:tcW w:w="1063" w:type="dxa"/>
          </w:tcPr>
          <w:p w:rsidR="00521170" w:rsidRPr="00167083" w:rsidRDefault="00521170" w:rsidP="00521170">
            <w:pPr>
              <w:spacing w:before="120" w:after="120"/>
              <w:rPr>
                <w:rFonts w:asciiTheme="minorHAnsi" w:hAnsiTheme="minorHAnsi"/>
                <w:b/>
                <w:color w:val="333399"/>
                <w:sz w:val="22"/>
                <w:szCs w:val="20"/>
              </w:rPr>
            </w:pPr>
            <w:r w:rsidRPr="00167083">
              <w:rPr>
                <w:rFonts w:asciiTheme="minorHAnsi" w:hAnsiTheme="minorHAnsi"/>
                <w:b/>
                <w:color w:val="333399"/>
                <w:sz w:val="22"/>
                <w:szCs w:val="20"/>
              </w:rPr>
              <w:t>Date</w:t>
            </w:r>
          </w:p>
        </w:tc>
        <w:tc>
          <w:tcPr>
            <w:tcW w:w="7356" w:type="dxa"/>
          </w:tcPr>
          <w:p w:rsidR="00521170" w:rsidRPr="00167083" w:rsidRDefault="00521170" w:rsidP="00521170">
            <w:pPr>
              <w:spacing w:before="120" w:after="120"/>
              <w:jc w:val="center"/>
              <w:rPr>
                <w:rFonts w:asciiTheme="minorHAnsi" w:hAnsiTheme="minorHAnsi"/>
                <w:b/>
                <w:color w:val="333399"/>
                <w:sz w:val="22"/>
                <w:szCs w:val="20"/>
              </w:rPr>
            </w:pPr>
            <w:r w:rsidRPr="00167083">
              <w:rPr>
                <w:rFonts w:asciiTheme="minorHAnsi" w:hAnsiTheme="minorHAnsi"/>
                <w:b/>
                <w:color w:val="333399"/>
                <w:sz w:val="22"/>
                <w:szCs w:val="20"/>
              </w:rPr>
              <w:t>Topics and Readings</w:t>
            </w:r>
          </w:p>
        </w:tc>
        <w:tc>
          <w:tcPr>
            <w:tcW w:w="1391" w:type="dxa"/>
          </w:tcPr>
          <w:p w:rsidR="00521170" w:rsidRPr="00167083" w:rsidRDefault="00521170" w:rsidP="00521170">
            <w:pPr>
              <w:spacing w:before="120" w:after="120"/>
              <w:jc w:val="center"/>
              <w:rPr>
                <w:rFonts w:asciiTheme="minorHAnsi" w:hAnsiTheme="minorHAnsi"/>
                <w:b/>
                <w:color w:val="333399"/>
                <w:sz w:val="22"/>
                <w:szCs w:val="20"/>
              </w:rPr>
            </w:pPr>
            <w:r w:rsidRPr="00167083">
              <w:rPr>
                <w:rFonts w:asciiTheme="minorHAnsi" w:hAnsiTheme="minorHAnsi"/>
                <w:b/>
                <w:color w:val="333399"/>
                <w:sz w:val="22"/>
                <w:szCs w:val="20"/>
              </w:rPr>
              <w:t>Assignments Due</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Jan 24</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 xml:space="preserve">Topics: </w:t>
            </w:r>
            <w:r w:rsidRPr="00167083">
              <w:rPr>
                <w:rFonts w:asciiTheme="minorHAnsi" w:hAnsiTheme="minorHAnsi"/>
                <w:sz w:val="22"/>
                <w:szCs w:val="16"/>
              </w:rPr>
              <w:t xml:space="preserve"> Orientation, overview, discussing placements, meeting representatives of potential placements.</w:t>
            </w:r>
          </w:p>
        </w:tc>
        <w:tc>
          <w:tcPr>
            <w:tcW w:w="1391"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sz w:val="22"/>
                <w:szCs w:val="16"/>
              </w:rPr>
              <w:t xml:space="preserve">None </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Jan 31</w:t>
            </w:r>
          </w:p>
        </w:tc>
        <w:tc>
          <w:tcPr>
            <w:tcW w:w="7356" w:type="dxa"/>
          </w:tcPr>
          <w:p w:rsidR="00521170" w:rsidRPr="00167083" w:rsidRDefault="00521170" w:rsidP="00521170">
            <w:pPr>
              <w:spacing w:before="60" w:after="60"/>
              <w:rPr>
                <w:rFonts w:asciiTheme="minorHAnsi" w:hAnsiTheme="minorHAnsi"/>
                <w:sz w:val="22"/>
              </w:rPr>
            </w:pPr>
            <w:r w:rsidRPr="00167083">
              <w:rPr>
                <w:rFonts w:asciiTheme="minorHAnsi" w:hAnsiTheme="minorHAnsi"/>
                <w:b/>
                <w:bCs/>
                <w:sz w:val="22"/>
                <w:szCs w:val="16"/>
              </w:rPr>
              <w:t>Topics</w:t>
            </w:r>
            <w:r w:rsidRPr="00167083">
              <w:rPr>
                <w:rFonts w:asciiTheme="minorHAnsi" w:hAnsiTheme="minorHAnsi"/>
                <w:sz w:val="22"/>
                <w:szCs w:val="16"/>
              </w:rPr>
              <w:t>: Contracts, reports, entrance paper, essential skills, reflective learning, keeping a journal, understanding your role as an intern, professional, ethical and legal issues.  </w:t>
            </w:r>
          </w:p>
          <w:p w:rsidR="00521170" w:rsidRPr="00167083" w:rsidRDefault="00521170" w:rsidP="00521170">
            <w:pPr>
              <w:spacing w:before="60" w:after="60"/>
              <w:rPr>
                <w:rFonts w:asciiTheme="minorHAnsi" w:hAnsiTheme="minorHAnsi"/>
                <w:sz w:val="22"/>
                <w:szCs w:val="16"/>
              </w:rPr>
            </w:pPr>
            <w:r w:rsidRPr="00167083">
              <w:rPr>
                <w:rFonts w:asciiTheme="minorHAnsi" w:hAnsiTheme="minorHAnsi"/>
                <w:sz w:val="22"/>
                <w:szCs w:val="16"/>
              </w:rPr>
              <w:t xml:space="preserve"> </w:t>
            </w:r>
            <w:r w:rsidRPr="00167083">
              <w:rPr>
                <w:rFonts w:asciiTheme="minorHAnsi" w:hAnsiTheme="minorHAnsi"/>
                <w:b/>
                <w:sz w:val="22"/>
                <w:szCs w:val="16"/>
              </w:rPr>
              <w:t xml:space="preserve">Reading: </w:t>
            </w:r>
            <w:r w:rsidRPr="00167083">
              <w:rPr>
                <w:rFonts w:asciiTheme="minorHAnsi" w:hAnsiTheme="minorHAnsi"/>
                <w:sz w:val="22"/>
                <w:szCs w:val="16"/>
              </w:rPr>
              <w:t xml:space="preserve"> Sweitzer and King, ch. 1, 2, 5 and 13</w:t>
            </w:r>
          </w:p>
        </w:tc>
        <w:tc>
          <w:tcPr>
            <w:tcW w:w="1391" w:type="dxa"/>
          </w:tcPr>
          <w:p w:rsidR="00521170" w:rsidRPr="00167083" w:rsidRDefault="00521170" w:rsidP="00521170">
            <w:pPr>
              <w:spacing w:before="60"/>
              <w:rPr>
                <w:rFonts w:asciiTheme="minorHAnsi" w:hAnsiTheme="minorHAnsi"/>
                <w:sz w:val="22"/>
                <w:szCs w:val="16"/>
              </w:rPr>
            </w:pPr>
            <w:r w:rsidRPr="00167083">
              <w:rPr>
                <w:rFonts w:asciiTheme="minorHAnsi" w:hAnsiTheme="minorHAnsi"/>
                <w:sz w:val="22"/>
                <w:szCs w:val="16"/>
              </w:rPr>
              <w:t>None</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Feb 7</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Topics</w:t>
            </w:r>
            <w:r w:rsidRPr="00167083">
              <w:rPr>
                <w:rFonts w:asciiTheme="minorHAnsi" w:hAnsiTheme="minorHAnsi"/>
                <w:sz w:val="22"/>
                <w:szCs w:val="16"/>
              </w:rPr>
              <w:t>:  Internship stages, understanding yourself, getting to know your colleagues and your site.</w:t>
            </w:r>
          </w:p>
          <w:p w:rsidR="00521170" w:rsidRPr="00167083" w:rsidRDefault="00521170" w:rsidP="00521170">
            <w:pPr>
              <w:spacing w:before="60" w:after="60"/>
              <w:rPr>
                <w:rFonts w:asciiTheme="minorHAnsi" w:hAnsiTheme="minorHAnsi"/>
                <w:b/>
                <w:sz w:val="22"/>
                <w:szCs w:val="16"/>
              </w:rPr>
            </w:pPr>
            <w:r w:rsidRPr="00167083">
              <w:rPr>
                <w:rFonts w:asciiTheme="minorHAnsi" w:hAnsiTheme="minorHAnsi"/>
                <w:b/>
                <w:sz w:val="22"/>
                <w:szCs w:val="16"/>
              </w:rPr>
              <w:t xml:space="preserve">Reading: </w:t>
            </w:r>
            <w:r w:rsidRPr="00167083">
              <w:rPr>
                <w:rFonts w:asciiTheme="minorHAnsi" w:hAnsiTheme="minorHAnsi"/>
                <w:sz w:val="22"/>
                <w:szCs w:val="16"/>
              </w:rPr>
              <w:t xml:space="preserve"> Sweitzer and King, ch. 3, 4, 6 and 7</w:t>
            </w:r>
          </w:p>
        </w:tc>
        <w:tc>
          <w:tcPr>
            <w:tcW w:w="1391" w:type="dxa"/>
          </w:tcPr>
          <w:p w:rsidR="00521170" w:rsidRPr="00167083" w:rsidRDefault="00521170" w:rsidP="00521170">
            <w:pPr>
              <w:rPr>
                <w:rFonts w:asciiTheme="minorHAnsi" w:hAnsiTheme="minorHAnsi"/>
                <w:sz w:val="22"/>
                <w:szCs w:val="16"/>
              </w:rPr>
            </w:pPr>
          </w:p>
          <w:p w:rsidR="00521170" w:rsidRPr="00167083" w:rsidRDefault="00521170" w:rsidP="00521170">
            <w:pPr>
              <w:spacing w:before="60"/>
              <w:rPr>
                <w:rFonts w:asciiTheme="minorHAnsi" w:hAnsiTheme="minorHAnsi"/>
                <w:sz w:val="22"/>
                <w:szCs w:val="16"/>
              </w:rPr>
            </w:pPr>
            <w:r w:rsidRPr="00167083">
              <w:rPr>
                <w:rFonts w:asciiTheme="minorHAnsi" w:hAnsiTheme="minorHAnsi"/>
                <w:sz w:val="22"/>
                <w:szCs w:val="16"/>
              </w:rPr>
              <w:t>Internship Agreement</w:t>
            </w:r>
          </w:p>
          <w:p w:rsidR="00521170" w:rsidRPr="00167083" w:rsidRDefault="00521170" w:rsidP="00521170">
            <w:pPr>
              <w:rPr>
                <w:rFonts w:asciiTheme="minorHAnsi" w:hAnsiTheme="minorHAnsi"/>
                <w:sz w:val="22"/>
                <w:szCs w:val="16"/>
              </w:rPr>
            </w:pP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Feb 22</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Topics</w:t>
            </w:r>
            <w:r w:rsidRPr="00167083">
              <w:rPr>
                <w:rFonts w:asciiTheme="minorHAnsi" w:hAnsiTheme="minorHAnsi"/>
                <w:sz w:val="22"/>
                <w:szCs w:val="16"/>
              </w:rPr>
              <w:t>: Getting to know your clients, colleagues, placement and community. Supervisor’s evaluation.</w:t>
            </w:r>
          </w:p>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 xml:space="preserve">Reading: </w:t>
            </w:r>
            <w:r w:rsidRPr="00167083">
              <w:rPr>
                <w:rFonts w:asciiTheme="minorHAnsi" w:hAnsiTheme="minorHAnsi"/>
                <w:sz w:val="22"/>
                <w:szCs w:val="16"/>
              </w:rPr>
              <w:t xml:space="preserve"> Sweitzer and King, ch. 8, 9 and 13 (review)</w:t>
            </w:r>
          </w:p>
        </w:tc>
        <w:tc>
          <w:tcPr>
            <w:tcW w:w="1391" w:type="dxa"/>
          </w:tcPr>
          <w:p w:rsidR="00521170" w:rsidRPr="00167083" w:rsidRDefault="00521170" w:rsidP="00521170">
            <w:pPr>
              <w:spacing w:before="60"/>
              <w:rPr>
                <w:rFonts w:asciiTheme="minorHAnsi" w:hAnsiTheme="minorHAnsi"/>
                <w:sz w:val="22"/>
                <w:szCs w:val="16"/>
              </w:rPr>
            </w:pPr>
          </w:p>
          <w:p w:rsidR="00521170" w:rsidRPr="00167083" w:rsidRDefault="00521170" w:rsidP="00521170">
            <w:pPr>
              <w:spacing w:before="60"/>
              <w:rPr>
                <w:rFonts w:asciiTheme="minorHAnsi" w:hAnsiTheme="minorHAnsi"/>
                <w:sz w:val="22"/>
                <w:szCs w:val="16"/>
              </w:rPr>
            </w:pPr>
            <w:r w:rsidRPr="00167083">
              <w:rPr>
                <w:rFonts w:asciiTheme="minorHAnsi" w:hAnsiTheme="minorHAnsi"/>
                <w:sz w:val="22"/>
                <w:szCs w:val="16"/>
              </w:rPr>
              <w:t>Entrance paper</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Mar 21</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Topics</w:t>
            </w:r>
            <w:r w:rsidRPr="00167083">
              <w:rPr>
                <w:rFonts w:asciiTheme="minorHAnsi" w:hAnsiTheme="minorHAnsi"/>
                <w:sz w:val="22"/>
                <w:szCs w:val="16"/>
              </w:rPr>
              <w:t>:  Taking stock of your experience, strategies for change and professional growth.</w:t>
            </w:r>
          </w:p>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 xml:space="preserve">Reading: </w:t>
            </w:r>
            <w:r w:rsidRPr="00167083">
              <w:rPr>
                <w:rFonts w:asciiTheme="minorHAnsi" w:hAnsiTheme="minorHAnsi"/>
                <w:sz w:val="22"/>
                <w:szCs w:val="16"/>
              </w:rPr>
              <w:t xml:space="preserve"> Sweitzer and King, ch. 10, 11 and 12</w:t>
            </w:r>
          </w:p>
        </w:tc>
        <w:tc>
          <w:tcPr>
            <w:tcW w:w="1391" w:type="dxa"/>
          </w:tcPr>
          <w:p w:rsidR="00521170" w:rsidRPr="00167083" w:rsidRDefault="00521170" w:rsidP="00521170">
            <w:pPr>
              <w:rPr>
                <w:rFonts w:asciiTheme="minorHAnsi" w:hAnsiTheme="minorHAnsi"/>
                <w:sz w:val="22"/>
                <w:szCs w:val="16"/>
              </w:rPr>
            </w:pPr>
          </w:p>
          <w:p w:rsidR="00521170" w:rsidRPr="00167083" w:rsidRDefault="00521170" w:rsidP="00521170">
            <w:pPr>
              <w:rPr>
                <w:rFonts w:asciiTheme="minorHAnsi" w:hAnsiTheme="minorHAnsi"/>
                <w:sz w:val="22"/>
                <w:szCs w:val="16"/>
              </w:rPr>
            </w:pPr>
            <w:r w:rsidRPr="00167083">
              <w:rPr>
                <w:rFonts w:asciiTheme="minorHAnsi" w:hAnsiTheme="minorHAnsi"/>
                <w:sz w:val="22"/>
                <w:szCs w:val="16"/>
              </w:rPr>
              <w:t>Supervisor’s Evaluation</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May 2</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Topics</w:t>
            </w:r>
            <w:r w:rsidRPr="00167083">
              <w:rPr>
                <w:rFonts w:asciiTheme="minorHAnsi" w:hAnsiTheme="minorHAnsi"/>
                <w:sz w:val="22"/>
                <w:szCs w:val="16"/>
              </w:rPr>
              <w:t xml:space="preserve">: Exit paper and portfolio, self-evaluation, exploring future professional/educational goals, supervisor’s evaluation. </w:t>
            </w:r>
          </w:p>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 xml:space="preserve">Reading: </w:t>
            </w:r>
            <w:r w:rsidRPr="00167083">
              <w:rPr>
                <w:rFonts w:asciiTheme="minorHAnsi" w:hAnsiTheme="minorHAnsi"/>
                <w:sz w:val="22"/>
                <w:szCs w:val="16"/>
              </w:rPr>
              <w:t xml:space="preserve"> Sweitzer and King, ch. 14</w:t>
            </w:r>
          </w:p>
        </w:tc>
        <w:tc>
          <w:tcPr>
            <w:tcW w:w="1391"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sz w:val="22"/>
                <w:szCs w:val="16"/>
              </w:rPr>
              <w:t>None</w:t>
            </w:r>
          </w:p>
        </w:tc>
      </w:tr>
      <w:tr w:rsidR="00521170" w:rsidRPr="00167083">
        <w:trPr>
          <w:trHeight w:val="180"/>
        </w:trPr>
        <w:tc>
          <w:tcPr>
            <w:tcW w:w="1063" w:type="dxa"/>
          </w:tcPr>
          <w:p w:rsidR="00521170" w:rsidRPr="00167083" w:rsidRDefault="00521170" w:rsidP="00521170">
            <w:pPr>
              <w:spacing w:before="120" w:after="120"/>
              <w:rPr>
                <w:rFonts w:asciiTheme="minorHAnsi" w:hAnsiTheme="minorHAnsi"/>
                <w:sz w:val="22"/>
                <w:szCs w:val="20"/>
              </w:rPr>
            </w:pPr>
            <w:r w:rsidRPr="00167083">
              <w:rPr>
                <w:rFonts w:asciiTheme="minorHAnsi" w:hAnsiTheme="minorHAnsi"/>
                <w:sz w:val="22"/>
                <w:szCs w:val="20"/>
              </w:rPr>
              <w:t>May 9</w:t>
            </w:r>
          </w:p>
        </w:tc>
        <w:tc>
          <w:tcPr>
            <w:tcW w:w="7356" w:type="dxa"/>
          </w:tcPr>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Topics</w:t>
            </w:r>
            <w:r w:rsidRPr="00167083">
              <w:rPr>
                <w:rFonts w:asciiTheme="minorHAnsi" w:hAnsiTheme="minorHAnsi"/>
                <w:sz w:val="22"/>
                <w:szCs w:val="16"/>
              </w:rPr>
              <w:t xml:space="preserve">:  Evaluating your experience, saying goodbye. </w:t>
            </w:r>
          </w:p>
          <w:p w:rsidR="00521170" w:rsidRPr="00167083" w:rsidRDefault="00521170" w:rsidP="00521170">
            <w:pPr>
              <w:spacing w:before="60" w:after="60"/>
              <w:rPr>
                <w:rFonts w:asciiTheme="minorHAnsi" w:hAnsiTheme="minorHAnsi"/>
                <w:sz w:val="22"/>
                <w:szCs w:val="16"/>
              </w:rPr>
            </w:pPr>
            <w:r w:rsidRPr="00167083">
              <w:rPr>
                <w:rFonts w:asciiTheme="minorHAnsi" w:hAnsiTheme="minorHAnsi"/>
                <w:b/>
                <w:sz w:val="22"/>
                <w:szCs w:val="16"/>
              </w:rPr>
              <w:t xml:space="preserve">Reading: </w:t>
            </w:r>
            <w:r w:rsidRPr="00167083">
              <w:rPr>
                <w:rFonts w:asciiTheme="minorHAnsi" w:hAnsiTheme="minorHAnsi"/>
                <w:sz w:val="22"/>
                <w:szCs w:val="16"/>
              </w:rPr>
              <w:t xml:space="preserve"> None</w:t>
            </w:r>
          </w:p>
        </w:tc>
        <w:tc>
          <w:tcPr>
            <w:tcW w:w="1391" w:type="dxa"/>
          </w:tcPr>
          <w:p w:rsidR="00521170" w:rsidRPr="00167083" w:rsidRDefault="00521170" w:rsidP="00521170">
            <w:pPr>
              <w:spacing w:before="120"/>
              <w:rPr>
                <w:rFonts w:asciiTheme="minorHAnsi" w:hAnsiTheme="minorHAnsi"/>
                <w:sz w:val="22"/>
                <w:szCs w:val="16"/>
              </w:rPr>
            </w:pPr>
            <w:r w:rsidRPr="00167083">
              <w:rPr>
                <w:rFonts w:asciiTheme="minorHAnsi" w:hAnsiTheme="minorHAnsi"/>
                <w:sz w:val="22"/>
                <w:szCs w:val="16"/>
              </w:rPr>
              <w:t>Exit Paper</w:t>
            </w:r>
          </w:p>
          <w:p w:rsidR="00521170" w:rsidRPr="00167083" w:rsidRDefault="00521170" w:rsidP="00521170">
            <w:pPr>
              <w:rPr>
                <w:rFonts w:asciiTheme="minorHAnsi" w:hAnsiTheme="minorHAnsi"/>
                <w:sz w:val="22"/>
                <w:szCs w:val="16"/>
              </w:rPr>
            </w:pPr>
            <w:r w:rsidRPr="00167083">
              <w:rPr>
                <w:rFonts w:asciiTheme="minorHAnsi" w:hAnsiTheme="minorHAnsi"/>
                <w:sz w:val="22"/>
                <w:szCs w:val="16"/>
              </w:rPr>
              <w:t>Supervisor’s Evaluation</w:t>
            </w:r>
          </w:p>
          <w:p w:rsidR="00521170" w:rsidRPr="00167083" w:rsidRDefault="00521170" w:rsidP="00521170">
            <w:pPr>
              <w:spacing w:after="60"/>
              <w:rPr>
                <w:rFonts w:asciiTheme="minorHAnsi" w:hAnsiTheme="minorHAnsi"/>
                <w:sz w:val="22"/>
                <w:szCs w:val="16"/>
              </w:rPr>
            </w:pPr>
            <w:r w:rsidRPr="00167083">
              <w:rPr>
                <w:rFonts w:asciiTheme="minorHAnsi" w:hAnsiTheme="minorHAnsi"/>
                <w:sz w:val="22"/>
                <w:szCs w:val="16"/>
              </w:rPr>
              <w:t>Portfolio</w:t>
            </w:r>
          </w:p>
        </w:tc>
      </w:tr>
    </w:tbl>
    <w:p w:rsidR="007B7A7F" w:rsidRPr="00167083" w:rsidRDefault="007B7A7F" w:rsidP="00BF62A9">
      <w:pPr>
        <w:rPr>
          <w:rFonts w:asciiTheme="minorHAnsi" w:hAnsiTheme="minorHAnsi" w:cstheme="minorHAnsi"/>
          <w:sz w:val="22"/>
          <w:szCs w:val="22"/>
        </w:rPr>
      </w:pPr>
    </w:p>
    <w:sectPr w:rsidR="007B7A7F" w:rsidRPr="00167083" w:rsidSect="00167083">
      <w:type w:val="continuous"/>
      <w:pgSz w:w="12240" w:h="15840"/>
      <w:pgMar w:top="126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EC" w:rsidRDefault="00F868EC">
      <w:r>
        <w:separator/>
      </w:r>
    </w:p>
  </w:endnote>
  <w:endnote w:type="continuationSeparator" w:id="0">
    <w:p w:rsidR="00F868EC" w:rsidRDefault="00F8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EC" w:rsidRDefault="00F868EC">
      <w:r>
        <w:separator/>
      </w:r>
    </w:p>
  </w:footnote>
  <w:footnote w:type="continuationSeparator" w:id="0">
    <w:p w:rsidR="00F868EC" w:rsidRDefault="00F8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7E9"/>
    <w:multiLevelType w:val="hybridMultilevel"/>
    <w:tmpl w:val="3B56BE5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213BBB"/>
    <w:multiLevelType w:val="multilevel"/>
    <w:tmpl w:val="3B56BE5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D5C3718"/>
    <w:multiLevelType w:val="hybridMultilevel"/>
    <w:tmpl w:val="B756E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1417F06"/>
    <w:multiLevelType w:val="hybridMultilevel"/>
    <w:tmpl w:val="D5CCA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1559DE"/>
    <w:multiLevelType w:val="hybridMultilevel"/>
    <w:tmpl w:val="B9C4482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247548"/>
    <w:multiLevelType w:val="hybridMultilevel"/>
    <w:tmpl w:val="E9BC6BBE"/>
    <w:lvl w:ilvl="0" w:tplc="97786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6B03EB"/>
    <w:multiLevelType w:val="hybridMultilevel"/>
    <w:tmpl w:val="0CC09CE0"/>
    <w:lvl w:ilvl="0" w:tplc="292CD55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106AA"/>
    <w:multiLevelType w:val="hybridMultilevel"/>
    <w:tmpl w:val="D632F8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235A6C"/>
    <w:multiLevelType w:val="hybridMultilevel"/>
    <w:tmpl w:val="555ACDD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242E24"/>
    <w:multiLevelType w:val="hybridMultilevel"/>
    <w:tmpl w:val="44E46B9C"/>
    <w:lvl w:ilvl="0" w:tplc="4C523A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0F7399"/>
    <w:multiLevelType w:val="hybridMultilevel"/>
    <w:tmpl w:val="E96EE6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0353D0"/>
    <w:multiLevelType w:val="hybridMultilevel"/>
    <w:tmpl w:val="FC40B6AA"/>
    <w:lvl w:ilvl="0" w:tplc="11B469CE">
      <w:start w:val="1"/>
      <w:numFmt w:val="decimal"/>
      <w:lvlText w:val="%1."/>
      <w:lvlJc w:val="left"/>
      <w:pPr>
        <w:ind w:left="720" w:hanging="360"/>
      </w:pPr>
      <w:rPr>
        <w:b/>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368D8"/>
    <w:multiLevelType w:val="hybridMultilevel"/>
    <w:tmpl w:val="B67E9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94A39"/>
    <w:multiLevelType w:val="hybridMultilevel"/>
    <w:tmpl w:val="65606B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4D2D40"/>
    <w:multiLevelType w:val="hybridMultilevel"/>
    <w:tmpl w:val="437445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67531C9"/>
    <w:multiLevelType w:val="multilevel"/>
    <w:tmpl w:val="3B56BE5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CF7553"/>
    <w:multiLevelType w:val="hybridMultilevel"/>
    <w:tmpl w:val="7E6EE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424408B"/>
    <w:multiLevelType w:val="hybridMultilevel"/>
    <w:tmpl w:val="582262C2"/>
    <w:lvl w:ilvl="0" w:tplc="292CD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F50661"/>
    <w:multiLevelType w:val="hybridMultilevel"/>
    <w:tmpl w:val="B32887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48176C"/>
    <w:multiLevelType w:val="hybridMultilevel"/>
    <w:tmpl w:val="A0346AEC"/>
    <w:lvl w:ilvl="0" w:tplc="04090001">
      <w:start w:val="1"/>
      <w:numFmt w:val="bullet"/>
      <w:lvlText w:val=""/>
      <w:lvlJc w:val="left"/>
      <w:pPr>
        <w:ind w:left="180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8210AD3"/>
    <w:multiLevelType w:val="hybridMultilevel"/>
    <w:tmpl w:val="D67251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A283F43"/>
    <w:multiLevelType w:val="hybridMultilevel"/>
    <w:tmpl w:val="D9AC3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CD155F8"/>
    <w:multiLevelType w:val="hybridMultilevel"/>
    <w:tmpl w:val="C956A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95B6303"/>
    <w:multiLevelType w:val="hybridMultilevel"/>
    <w:tmpl w:val="7A3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263B1"/>
    <w:multiLevelType w:val="hybridMultilevel"/>
    <w:tmpl w:val="8A86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6C6CE2"/>
    <w:multiLevelType w:val="hybridMultilevel"/>
    <w:tmpl w:val="D298C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DC42DFC"/>
    <w:multiLevelType w:val="hybridMultilevel"/>
    <w:tmpl w:val="8FAC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6819AF"/>
    <w:multiLevelType w:val="hybridMultilevel"/>
    <w:tmpl w:val="F4F295DA"/>
    <w:lvl w:ilvl="0" w:tplc="0409000F">
      <w:start w:val="1"/>
      <w:numFmt w:val="decimal"/>
      <w:lvlText w:val="%1."/>
      <w:lvlJc w:val="left"/>
      <w:pPr>
        <w:ind w:left="180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5"/>
  </w:num>
  <w:num w:numId="3">
    <w:abstractNumId w:val="19"/>
  </w:num>
  <w:num w:numId="4">
    <w:abstractNumId w:val="3"/>
  </w:num>
  <w:num w:numId="5">
    <w:abstractNumId w:val="27"/>
  </w:num>
  <w:num w:numId="6">
    <w:abstractNumId w:val="10"/>
  </w:num>
  <w:num w:numId="7">
    <w:abstractNumId w:val="21"/>
  </w:num>
  <w:num w:numId="8">
    <w:abstractNumId w:val="7"/>
  </w:num>
  <w:num w:numId="9">
    <w:abstractNumId w:val="28"/>
  </w:num>
  <w:num w:numId="10">
    <w:abstractNumId w:val="6"/>
  </w:num>
  <w:num w:numId="11">
    <w:abstractNumId w:val="4"/>
  </w:num>
  <w:num w:numId="12">
    <w:abstractNumId w:val="14"/>
  </w:num>
  <w:num w:numId="13">
    <w:abstractNumId w:val="32"/>
  </w:num>
  <w:num w:numId="14">
    <w:abstractNumId w:val="16"/>
  </w:num>
  <w:num w:numId="15">
    <w:abstractNumId w:val="31"/>
  </w:num>
  <w:num w:numId="16">
    <w:abstractNumId w:val="22"/>
  </w:num>
  <w:num w:numId="17">
    <w:abstractNumId w:val="25"/>
  </w:num>
  <w:num w:numId="18">
    <w:abstractNumId w:val="11"/>
  </w:num>
  <w:num w:numId="19">
    <w:abstractNumId w:val="2"/>
  </w:num>
  <w:num w:numId="20">
    <w:abstractNumId w:val="29"/>
  </w:num>
  <w:num w:numId="21">
    <w:abstractNumId w:val="26"/>
  </w:num>
  <w:num w:numId="22">
    <w:abstractNumId w:val="20"/>
  </w:num>
  <w:num w:numId="23">
    <w:abstractNumId w:val="24"/>
  </w:num>
  <w:num w:numId="24">
    <w:abstractNumId w:val="0"/>
  </w:num>
  <w:num w:numId="25">
    <w:abstractNumId w:val="9"/>
  </w:num>
  <w:num w:numId="26">
    <w:abstractNumId w:val="13"/>
  </w:num>
  <w:num w:numId="27">
    <w:abstractNumId w:val="30"/>
  </w:num>
  <w:num w:numId="28">
    <w:abstractNumId w:val="18"/>
  </w:num>
  <w:num w:numId="29">
    <w:abstractNumId w:val="8"/>
  </w:num>
  <w:num w:numId="30">
    <w:abstractNumId w:val="12"/>
  </w:num>
  <w:num w:numId="31">
    <w:abstractNumId w:val="23"/>
  </w:num>
  <w:num w:numId="32">
    <w:abstractNumId w:val="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416AF"/>
    <w:rsid w:val="000467EB"/>
    <w:rsid w:val="000568D6"/>
    <w:rsid w:val="00061C98"/>
    <w:rsid w:val="0006618D"/>
    <w:rsid w:val="0007517D"/>
    <w:rsid w:val="00077002"/>
    <w:rsid w:val="0009644C"/>
    <w:rsid w:val="000B69B1"/>
    <w:rsid w:val="000C4BD5"/>
    <w:rsid w:val="000D238F"/>
    <w:rsid w:val="000E5C6E"/>
    <w:rsid w:val="00117C71"/>
    <w:rsid w:val="00125341"/>
    <w:rsid w:val="00131092"/>
    <w:rsid w:val="00154221"/>
    <w:rsid w:val="0015661D"/>
    <w:rsid w:val="00166ED8"/>
    <w:rsid w:val="00167083"/>
    <w:rsid w:val="00172FD5"/>
    <w:rsid w:val="00175A97"/>
    <w:rsid w:val="0019143A"/>
    <w:rsid w:val="0019162D"/>
    <w:rsid w:val="001A2FFA"/>
    <w:rsid w:val="001A504B"/>
    <w:rsid w:val="001B251D"/>
    <w:rsid w:val="001E234E"/>
    <w:rsid w:val="001F7A39"/>
    <w:rsid w:val="00233730"/>
    <w:rsid w:val="00245540"/>
    <w:rsid w:val="0025135E"/>
    <w:rsid w:val="0025444D"/>
    <w:rsid w:val="00254B25"/>
    <w:rsid w:val="00260E9D"/>
    <w:rsid w:val="00296994"/>
    <w:rsid w:val="002A113B"/>
    <w:rsid w:val="002A24F2"/>
    <w:rsid w:val="002B306D"/>
    <w:rsid w:val="002B4164"/>
    <w:rsid w:val="002D0202"/>
    <w:rsid w:val="002E3D6E"/>
    <w:rsid w:val="00317591"/>
    <w:rsid w:val="00334FA0"/>
    <w:rsid w:val="00345AB8"/>
    <w:rsid w:val="00346DFA"/>
    <w:rsid w:val="00352E7D"/>
    <w:rsid w:val="003618EB"/>
    <w:rsid w:val="00364D5E"/>
    <w:rsid w:val="003674C1"/>
    <w:rsid w:val="00370503"/>
    <w:rsid w:val="003737C4"/>
    <w:rsid w:val="00380A44"/>
    <w:rsid w:val="003823EC"/>
    <w:rsid w:val="003B1999"/>
    <w:rsid w:val="003B5632"/>
    <w:rsid w:val="003E6EB7"/>
    <w:rsid w:val="0040260D"/>
    <w:rsid w:val="00421C0D"/>
    <w:rsid w:val="00461FB3"/>
    <w:rsid w:val="00475B3C"/>
    <w:rsid w:val="00475F88"/>
    <w:rsid w:val="004869EF"/>
    <w:rsid w:val="004922FC"/>
    <w:rsid w:val="00494154"/>
    <w:rsid w:val="004A45A7"/>
    <w:rsid w:val="004A473F"/>
    <w:rsid w:val="004B3F89"/>
    <w:rsid w:val="004B703F"/>
    <w:rsid w:val="004F5602"/>
    <w:rsid w:val="005105A7"/>
    <w:rsid w:val="00521170"/>
    <w:rsid w:val="00552E25"/>
    <w:rsid w:val="00552E82"/>
    <w:rsid w:val="005673BC"/>
    <w:rsid w:val="00580497"/>
    <w:rsid w:val="00584CD0"/>
    <w:rsid w:val="005879AE"/>
    <w:rsid w:val="005C392D"/>
    <w:rsid w:val="005D7B24"/>
    <w:rsid w:val="005E1645"/>
    <w:rsid w:val="005E2AED"/>
    <w:rsid w:val="005F289D"/>
    <w:rsid w:val="005F2CB2"/>
    <w:rsid w:val="00605DF3"/>
    <w:rsid w:val="006129FB"/>
    <w:rsid w:val="0062708A"/>
    <w:rsid w:val="006A5CAA"/>
    <w:rsid w:val="006B0794"/>
    <w:rsid w:val="006C2AC1"/>
    <w:rsid w:val="006D0EC2"/>
    <w:rsid w:val="006E2339"/>
    <w:rsid w:val="0070158F"/>
    <w:rsid w:val="0072136A"/>
    <w:rsid w:val="00724E59"/>
    <w:rsid w:val="007300E6"/>
    <w:rsid w:val="00750536"/>
    <w:rsid w:val="007558D7"/>
    <w:rsid w:val="007722CB"/>
    <w:rsid w:val="007A01EC"/>
    <w:rsid w:val="007B7A7F"/>
    <w:rsid w:val="007E2E96"/>
    <w:rsid w:val="007E38F2"/>
    <w:rsid w:val="007E4875"/>
    <w:rsid w:val="007F174F"/>
    <w:rsid w:val="007F6833"/>
    <w:rsid w:val="008064FC"/>
    <w:rsid w:val="008228F8"/>
    <w:rsid w:val="008331A3"/>
    <w:rsid w:val="00843814"/>
    <w:rsid w:val="00872711"/>
    <w:rsid w:val="00893B5E"/>
    <w:rsid w:val="008A683C"/>
    <w:rsid w:val="008D3035"/>
    <w:rsid w:val="00900663"/>
    <w:rsid w:val="009007C7"/>
    <w:rsid w:val="00913169"/>
    <w:rsid w:val="00932154"/>
    <w:rsid w:val="009357B7"/>
    <w:rsid w:val="00943836"/>
    <w:rsid w:val="00961EEB"/>
    <w:rsid w:val="0096580A"/>
    <w:rsid w:val="00972BB1"/>
    <w:rsid w:val="00973CE5"/>
    <w:rsid w:val="009760EE"/>
    <w:rsid w:val="0099144A"/>
    <w:rsid w:val="009B7D7B"/>
    <w:rsid w:val="009D4DD5"/>
    <w:rsid w:val="009D6A8D"/>
    <w:rsid w:val="009D7B03"/>
    <w:rsid w:val="009E7666"/>
    <w:rsid w:val="00A04BAA"/>
    <w:rsid w:val="00A0688C"/>
    <w:rsid w:val="00A154D6"/>
    <w:rsid w:val="00A3243D"/>
    <w:rsid w:val="00A411A4"/>
    <w:rsid w:val="00A41A80"/>
    <w:rsid w:val="00A4274D"/>
    <w:rsid w:val="00A5523F"/>
    <w:rsid w:val="00A7443F"/>
    <w:rsid w:val="00A768D3"/>
    <w:rsid w:val="00A83696"/>
    <w:rsid w:val="00A96C62"/>
    <w:rsid w:val="00AA1787"/>
    <w:rsid w:val="00AA583A"/>
    <w:rsid w:val="00AB6CBA"/>
    <w:rsid w:val="00AB7157"/>
    <w:rsid w:val="00AE42D9"/>
    <w:rsid w:val="00AE77D4"/>
    <w:rsid w:val="00AF0E58"/>
    <w:rsid w:val="00AF3C81"/>
    <w:rsid w:val="00B0738F"/>
    <w:rsid w:val="00B24701"/>
    <w:rsid w:val="00B33BDC"/>
    <w:rsid w:val="00B43C2E"/>
    <w:rsid w:val="00B530A5"/>
    <w:rsid w:val="00B76BF8"/>
    <w:rsid w:val="00B94F71"/>
    <w:rsid w:val="00B96ABC"/>
    <w:rsid w:val="00BB787C"/>
    <w:rsid w:val="00BB7EC1"/>
    <w:rsid w:val="00BE1CED"/>
    <w:rsid w:val="00BE7CB6"/>
    <w:rsid w:val="00BF33C6"/>
    <w:rsid w:val="00BF62A9"/>
    <w:rsid w:val="00C00EA5"/>
    <w:rsid w:val="00C06C8C"/>
    <w:rsid w:val="00C17D63"/>
    <w:rsid w:val="00C207AA"/>
    <w:rsid w:val="00C30F8E"/>
    <w:rsid w:val="00C84869"/>
    <w:rsid w:val="00C86EDB"/>
    <w:rsid w:val="00CB7CA0"/>
    <w:rsid w:val="00CD10EB"/>
    <w:rsid w:val="00CE5979"/>
    <w:rsid w:val="00D03685"/>
    <w:rsid w:val="00D363AE"/>
    <w:rsid w:val="00D40A8C"/>
    <w:rsid w:val="00D52880"/>
    <w:rsid w:val="00D56BAD"/>
    <w:rsid w:val="00D81BFA"/>
    <w:rsid w:val="00D912E5"/>
    <w:rsid w:val="00DA5134"/>
    <w:rsid w:val="00DB097D"/>
    <w:rsid w:val="00DB6AB0"/>
    <w:rsid w:val="00DD5BC9"/>
    <w:rsid w:val="00E31216"/>
    <w:rsid w:val="00E50E18"/>
    <w:rsid w:val="00E71B90"/>
    <w:rsid w:val="00E727EF"/>
    <w:rsid w:val="00E87A32"/>
    <w:rsid w:val="00E904CC"/>
    <w:rsid w:val="00E92305"/>
    <w:rsid w:val="00EA359F"/>
    <w:rsid w:val="00EA363E"/>
    <w:rsid w:val="00EB6882"/>
    <w:rsid w:val="00EC1B26"/>
    <w:rsid w:val="00EC2C4D"/>
    <w:rsid w:val="00F00F8A"/>
    <w:rsid w:val="00F0514E"/>
    <w:rsid w:val="00F06FB3"/>
    <w:rsid w:val="00F4676A"/>
    <w:rsid w:val="00F6270C"/>
    <w:rsid w:val="00F6306B"/>
    <w:rsid w:val="00F726BA"/>
    <w:rsid w:val="00F842F7"/>
    <w:rsid w:val="00F868EC"/>
    <w:rsid w:val="00F86AED"/>
    <w:rsid w:val="00F912A5"/>
    <w:rsid w:val="00F93115"/>
    <w:rsid w:val="00F955B7"/>
    <w:rsid w:val="00FA69CE"/>
    <w:rsid w:val="00FB48A8"/>
    <w:rsid w:val="00FD4B19"/>
    <w:rsid w:val="00FE7939"/>
    <w:rsid w:val="00FF149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C2AC1"/>
  </w:style>
  <w:style w:type="paragraph" w:styleId="Heading2">
    <w:name w:val="heading 2"/>
    <w:basedOn w:val="Normal"/>
    <w:next w:val="Normal"/>
    <w:link w:val="Heading2Char"/>
    <w:qFormat/>
    <w:rsid w:val="00A96C62"/>
    <w:pPr>
      <w:keepNext/>
      <w:ind w:left="540" w:hanging="540"/>
      <w:outlineLvl w:val="1"/>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2AC1"/>
    <w:pPr>
      <w:tabs>
        <w:tab w:val="center" w:pos="4320"/>
        <w:tab w:val="right" w:pos="8640"/>
      </w:tabs>
    </w:pPr>
  </w:style>
  <w:style w:type="paragraph" w:styleId="Footer">
    <w:name w:val="footer"/>
    <w:basedOn w:val="Normal"/>
    <w:rsid w:val="006C2AC1"/>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paragraph" w:customStyle="1" w:styleId="Default">
    <w:name w:val="Default"/>
    <w:rsid w:val="005105A7"/>
    <w:pPr>
      <w:widowControl w:val="0"/>
      <w:autoSpaceDE w:val="0"/>
      <w:autoSpaceDN w:val="0"/>
      <w:adjustRightInd w:val="0"/>
    </w:pPr>
    <w:rPr>
      <w:rFonts w:ascii="Times New Roman" w:hAnsi="Times New Roman" w:cs="Times New Roman"/>
      <w:color w:val="000000"/>
    </w:rPr>
  </w:style>
  <w:style w:type="paragraph" w:customStyle="1" w:styleId="CM4">
    <w:name w:val="CM4"/>
    <w:basedOn w:val="Default"/>
    <w:next w:val="Default"/>
    <w:uiPriority w:val="99"/>
    <w:rsid w:val="005105A7"/>
    <w:rPr>
      <w:color w:val="auto"/>
    </w:rPr>
  </w:style>
  <w:style w:type="paragraph" w:customStyle="1" w:styleId="CM2">
    <w:name w:val="CM2"/>
    <w:basedOn w:val="Default"/>
    <w:next w:val="Default"/>
    <w:uiPriority w:val="99"/>
    <w:rsid w:val="005105A7"/>
    <w:pPr>
      <w:spacing w:line="276" w:lineRule="atLeast"/>
    </w:pPr>
    <w:rPr>
      <w:color w:val="auto"/>
    </w:rPr>
  </w:style>
  <w:style w:type="paragraph" w:customStyle="1" w:styleId="CM3">
    <w:name w:val="CM3"/>
    <w:basedOn w:val="Default"/>
    <w:next w:val="Default"/>
    <w:uiPriority w:val="99"/>
    <w:rsid w:val="005105A7"/>
    <w:rPr>
      <w:color w:val="auto"/>
    </w:rPr>
  </w:style>
  <w:style w:type="paragraph" w:styleId="BodyTextIndent">
    <w:name w:val="Body Text Indent"/>
    <w:basedOn w:val="Normal"/>
    <w:link w:val="BodyTextIndentChar"/>
    <w:rsid w:val="00A0688C"/>
    <w:pPr>
      <w:spacing w:after="120"/>
      <w:ind w:left="360"/>
    </w:pPr>
    <w:rPr>
      <w:rFonts w:ascii="Times New Roman" w:hAnsi="Times New Roman" w:cs="Times New Roman"/>
      <w:sz w:val="20"/>
    </w:rPr>
  </w:style>
  <w:style w:type="character" w:customStyle="1" w:styleId="BodyTextIndentChar">
    <w:name w:val="Body Text Indent Char"/>
    <w:basedOn w:val="DefaultParagraphFont"/>
    <w:link w:val="BodyTextIndent"/>
    <w:rsid w:val="00A0688C"/>
    <w:rPr>
      <w:rFonts w:ascii="Times New Roman" w:hAnsi="Times New Roman" w:cs="Times New Roman"/>
    </w:rPr>
  </w:style>
  <w:style w:type="character" w:customStyle="1" w:styleId="Heading2Char">
    <w:name w:val="Heading 2 Char"/>
    <w:basedOn w:val="DefaultParagraphFont"/>
    <w:link w:val="Heading2"/>
    <w:rsid w:val="00A96C62"/>
    <w:rPr>
      <w:rFonts w:ascii="Times New Roman" w:hAnsi="Times New Roman" w:cs="Times New Roman"/>
      <w:b/>
      <w:sz w:val="20"/>
      <w:szCs w:val="20"/>
    </w:rPr>
  </w:style>
  <w:style w:type="paragraph" w:styleId="BodyText">
    <w:name w:val="Body Text"/>
    <w:basedOn w:val="Normal"/>
    <w:link w:val="BodyTextChar"/>
    <w:rsid w:val="00A96C62"/>
    <w:pPr>
      <w:spacing w:after="120"/>
    </w:pPr>
    <w:rPr>
      <w:rFonts w:ascii="Times New Roman" w:hAnsi="Times New Roman" w:cs="Times New Roman"/>
      <w:sz w:val="20"/>
      <w:szCs w:val="20"/>
    </w:rPr>
  </w:style>
  <w:style w:type="character" w:customStyle="1" w:styleId="BodyTextChar">
    <w:name w:val="Body Text Char"/>
    <w:basedOn w:val="DefaultParagraphFont"/>
    <w:link w:val="BodyText"/>
    <w:rsid w:val="00A96C62"/>
    <w:rPr>
      <w:rFonts w:ascii="Times New Roman" w:hAnsi="Times New Roman" w:cs="Times New Roman"/>
      <w:sz w:val="20"/>
      <w:szCs w:val="20"/>
    </w:rPr>
  </w:style>
  <w:style w:type="paragraph" w:styleId="NormalIndent">
    <w:name w:val="Normal Indent"/>
    <w:basedOn w:val="Normal"/>
    <w:rsid w:val="00A96C62"/>
    <w:pPr>
      <w:ind w:left="720"/>
    </w:pPr>
    <w:rPr>
      <w:rFonts w:ascii="Times New Roman" w:hAnsi="Times New Roman" w:cs="Times New Roman"/>
      <w:sz w:val="20"/>
      <w:szCs w:val="20"/>
    </w:rPr>
  </w:style>
  <w:style w:type="character" w:styleId="Strong">
    <w:name w:val="Strong"/>
    <w:basedOn w:val="DefaultParagraphFont"/>
    <w:qFormat/>
    <w:rsid w:val="00584CD0"/>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C2AC1"/>
  </w:style>
  <w:style w:type="paragraph" w:styleId="Heading2">
    <w:name w:val="heading 2"/>
    <w:basedOn w:val="Normal"/>
    <w:next w:val="Normal"/>
    <w:link w:val="Heading2Char"/>
    <w:qFormat/>
    <w:rsid w:val="00A96C62"/>
    <w:pPr>
      <w:keepNext/>
      <w:ind w:left="540" w:hanging="540"/>
      <w:outlineLvl w:val="1"/>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2AC1"/>
    <w:pPr>
      <w:tabs>
        <w:tab w:val="center" w:pos="4320"/>
        <w:tab w:val="right" w:pos="8640"/>
      </w:tabs>
    </w:pPr>
  </w:style>
  <w:style w:type="paragraph" w:styleId="Footer">
    <w:name w:val="footer"/>
    <w:basedOn w:val="Normal"/>
    <w:rsid w:val="006C2AC1"/>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paragraph" w:customStyle="1" w:styleId="Default">
    <w:name w:val="Default"/>
    <w:rsid w:val="005105A7"/>
    <w:pPr>
      <w:widowControl w:val="0"/>
      <w:autoSpaceDE w:val="0"/>
      <w:autoSpaceDN w:val="0"/>
      <w:adjustRightInd w:val="0"/>
    </w:pPr>
    <w:rPr>
      <w:rFonts w:ascii="Times New Roman" w:hAnsi="Times New Roman" w:cs="Times New Roman"/>
      <w:color w:val="000000"/>
    </w:rPr>
  </w:style>
  <w:style w:type="paragraph" w:customStyle="1" w:styleId="CM4">
    <w:name w:val="CM4"/>
    <w:basedOn w:val="Default"/>
    <w:next w:val="Default"/>
    <w:uiPriority w:val="99"/>
    <w:rsid w:val="005105A7"/>
    <w:rPr>
      <w:color w:val="auto"/>
    </w:rPr>
  </w:style>
  <w:style w:type="paragraph" w:customStyle="1" w:styleId="CM2">
    <w:name w:val="CM2"/>
    <w:basedOn w:val="Default"/>
    <w:next w:val="Default"/>
    <w:uiPriority w:val="99"/>
    <w:rsid w:val="005105A7"/>
    <w:pPr>
      <w:spacing w:line="276" w:lineRule="atLeast"/>
    </w:pPr>
    <w:rPr>
      <w:color w:val="auto"/>
    </w:rPr>
  </w:style>
  <w:style w:type="paragraph" w:customStyle="1" w:styleId="CM3">
    <w:name w:val="CM3"/>
    <w:basedOn w:val="Default"/>
    <w:next w:val="Default"/>
    <w:uiPriority w:val="99"/>
    <w:rsid w:val="005105A7"/>
    <w:rPr>
      <w:color w:val="auto"/>
    </w:rPr>
  </w:style>
  <w:style w:type="paragraph" w:styleId="BodyTextIndent">
    <w:name w:val="Body Text Indent"/>
    <w:basedOn w:val="Normal"/>
    <w:link w:val="BodyTextIndentChar"/>
    <w:rsid w:val="00A0688C"/>
    <w:pPr>
      <w:spacing w:after="120"/>
      <w:ind w:left="360"/>
    </w:pPr>
    <w:rPr>
      <w:rFonts w:ascii="Times New Roman" w:hAnsi="Times New Roman" w:cs="Times New Roman"/>
      <w:sz w:val="20"/>
    </w:rPr>
  </w:style>
  <w:style w:type="character" w:customStyle="1" w:styleId="BodyTextIndentChar">
    <w:name w:val="Body Text Indent Char"/>
    <w:basedOn w:val="DefaultParagraphFont"/>
    <w:link w:val="BodyTextIndent"/>
    <w:rsid w:val="00A0688C"/>
    <w:rPr>
      <w:rFonts w:ascii="Times New Roman" w:hAnsi="Times New Roman" w:cs="Times New Roman"/>
    </w:rPr>
  </w:style>
  <w:style w:type="character" w:customStyle="1" w:styleId="Heading2Char">
    <w:name w:val="Heading 2 Char"/>
    <w:basedOn w:val="DefaultParagraphFont"/>
    <w:link w:val="Heading2"/>
    <w:rsid w:val="00A96C62"/>
    <w:rPr>
      <w:rFonts w:ascii="Times New Roman" w:hAnsi="Times New Roman" w:cs="Times New Roman"/>
      <w:b/>
      <w:sz w:val="20"/>
      <w:szCs w:val="20"/>
    </w:rPr>
  </w:style>
  <w:style w:type="paragraph" w:styleId="BodyText">
    <w:name w:val="Body Text"/>
    <w:basedOn w:val="Normal"/>
    <w:link w:val="BodyTextChar"/>
    <w:rsid w:val="00A96C62"/>
    <w:pPr>
      <w:spacing w:after="120"/>
    </w:pPr>
    <w:rPr>
      <w:rFonts w:ascii="Times New Roman" w:hAnsi="Times New Roman" w:cs="Times New Roman"/>
      <w:sz w:val="20"/>
      <w:szCs w:val="20"/>
    </w:rPr>
  </w:style>
  <w:style w:type="character" w:customStyle="1" w:styleId="BodyTextChar">
    <w:name w:val="Body Text Char"/>
    <w:basedOn w:val="DefaultParagraphFont"/>
    <w:link w:val="BodyText"/>
    <w:rsid w:val="00A96C62"/>
    <w:rPr>
      <w:rFonts w:ascii="Times New Roman" w:hAnsi="Times New Roman" w:cs="Times New Roman"/>
      <w:sz w:val="20"/>
      <w:szCs w:val="20"/>
    </w:rPr>
  </w:style>
  <w:style w:type="paragraph" w:styleId="NormalIndent">
    <w:name w:val="Normal Indent"/>
    <w:basedOn w:val="Normal"/>
    <w:rsid w:val="00A96C62"/>
    <w:pPr>
      <w:ind w:left="720"/>
    </w:pPr>
    <w:rPr>
      <w:rFonts w:ascii="Times New Roman" w:hAnsi="Times New Roman" w:cs="Times New Roman"/>
      <w:sz w:val="20"/>
      <w:szCs w:val="20"/>
    </w:rPr>
  </w:style>
  <w:style w:type="character" w:styleId="Strong">
    <w:name w:val="Strong"/>
    <w:basedOn w:val="DefaultParagraphFont"/>
    <w:qFormat/>
    <w:rsid w:val="00584C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31918">
      <w:bodyDiv w:val="1"/>
      <w:marLeft w:val="0"/>
      <w:marRight w:val="0"/>
      <w:marTop w:val="0"/>
      <w:marBottom w:val="0"/>
      <w:divBdr>
        <w:top w:val="none" w:sz="0" w:space="0" w:color="auto"/>
        <w:left w:val="none" w:sz="0" w:space="0" w:color="auto"/>
        <w:bottom w:val="none" w:sz="0" w:space="0" w:color="auto"/>
        <w:right w:val="none" w:sz="0" w:space="0" w:color="auto"/>
      </w:divBdr>
    </w:div>
    <w:div w:id="1725179153">
      <w:bodyDiv w:val="1"/>
      <w:marLeft w:val="0"/>
      <w:marRight w:val="0"/>
      <w:marTop w:val="0"/>
      <w:marBottom w:val="0"/>
      <w:divBdr>
        <w:top w:val="none" w:sz="0" w:space="0" w:color="auto"/>
        <w:left w:val="none" w:sz="0" w:space="0" w:color="auto"/>
        <w:bottom w:val="none" w:sz="0" w:space="0" w:color="auto"/>
        <w:right w:val="none" w:sz="0" w:space="0" w:color="auto"/>
      </w:divBdr>
    </w:div>
    <w:div w:id="208976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F7E29-0A9C-44E5-8D6A-CF3032A3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2012-01-12T15:52:00Z</cp:lastPrinted>
  <dcterms:created xsi:type="dcterms:W3CDTF">2013-05-07T13:25:00Z</dcterms:created>
  <dcterms:modified xsi:type="dcterms:W3CDTF">2013-05-07T13:25:00Z</dcterms:modified>
</cp:coreProperties>
</file>